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 Methods</w:t>
      </w:r>
    </w:p>
    <w:p>
      <w:pPr>
        <w:pStyle w:val="Subtitle"/>
        <w:jc w:val="center"/>
      </w:pPr>
      <w:r>
        <w:t>Lesson 83 of Quantum, Actually, Volume 2: A QED Course</w:t>
      </w:r>
    </w:p>
    <w:p>
      <w:pPr>
        <w:jc w:val="center"/>
      </w:pPr>
      <w:r>
        <w:t>Lothar J. Musiol</w:t>
      </w:r>
    </w:p>
    <w:p>
      <w:r>
        <w:br/>
      </w:r>
    </w:p>
    <w:p>
      <w:pPr>
        <w:jc w:val="center"/>
      </w:pPr>
      <w:r>
        <w:rPr>
          <w:b/>
          <w:sz w:val="26"/>
        </w:rPr>
        <w:t>Three working tools from one fact, that the integration variable of a path integral is a dummy: the Schwinger–Dyson equations, which are the field equations inside correlators; the Ward–Takahashi identity, obtained by rotating the electron's phase; and Jacobians, which give the chiral anomaly and the Faddeev–Popov gauge-fixing term</w:t>
      </w:r>
    </w:p>
    <w:p>
      <w:r>
        <w:br/>
        <w:br/>
      </w:r>
    </w:p>
    <w:p>
      <w:pPr>
        <w:jc w:val="center"/>
      </w:pPr>
      <w:r>
        <w:t>First edition, 2026</w:t>
      </w:r>
    </w:p>
    <w:p>
      <w:r>
        <w:br w:type="page"/>
      </w:r>
    </w:p>
    <w:p>
      <w:pPr>
        <w:pStyle w:val="Heading2"/>
      </w:pPr>
      <w:r>
        <w:t>How to use this lesson</w:t>
      </w:r>
    </w:p>
    <w:p>
      <w:r>
        <w:t>Lessons 80 to 82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72, derived in a few lines. Applied to a change of variables whose Jacobian is not 1, it gives new physics: the chiral anomaly, which fixes the decay rate of the neutral pion, and the Faddeev–Popov procedure, which derives Lesson 71's gauge-fixing term rather than postulating it. Expect six to eight hours.</w:t>
      </w:r>
    </w:p>
    <w:p>
      <w:pPr>
        <w:pStyle w:val="Heading3"/>
      </w:pPr>
      <w:r>
        <w:t>Learning objectives</w:t>
      </w:r>
    </w:p>
    <w:p>
      <w:pPr>
        <w:pStyle w:val="ListBullet"/>
      </w:pPr>
      <w:r>
        <w:t>Derive the Schwinger–Dyson equation ⟨δS/δφ(x)⟩</w:t>
      </w:r>
      <w:r>
        <w:rPr>
          <w:vertAlign w:val="subscript"/>
        </w:rPr>
        <w:t>J</w:t>
      </w:r>
      <w:r>
        <w:t xml:space="preserve"> = −J(x) and its two-point form with a contact term.</w:t>
      </w:r>
    </w:p>
    <w:p>
      <w:pPr>
        <w:pStyle w:val="ListBullet"/>
      </w:pPr>
      <w:r>
        <w:t>Check Schwinger–Dyson equations in a zero-dimensional model, and recover D</w:t>
      </w:r>
      <w:r>
        <w:rPr>
          <w:vertAlign w:val="subscript"/>
        </w:rPr>
        <w:t>F</w:t>
      </w:r>
      <w:r>
        <w:t xml:space="preserve"> = iK⁻¹ from them.</w:t>
      </w:r>
    </w:p>
    <w:p>
      <w:pPr>
        <w:pStyle w:val="ListBullet"/>
      </w:pPr>
      <w:r>
        <w:t>Derive the Ward–Takahashi identity in position space from a local phase rotation of ψ, and reduce it to q</w:t>
      </w:r>
      <w:r>
        <w:rPr>
          <w:vertAlign w:val="subscript"/>
        </w:rPr>
        <w:t>μ</w:t>
      </w:r>
      <w:r>
        <w:t>Γ</w:t>
      </w:r>
      <w:r>
        <w:rPr>
          <w:vertAlign w:val="superscript"/>
        </w:rPr>
        <w:t>μ</w:t>
      </w:r>
      <w:r>
        <w:t xml:space="preserve">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t>
            </w:r>
            <w:r>
              <w:rPr>
                <w:vertAlign w:val="subscript"/>
              </w:rPr>
              <w:t>J</w:t>
            </w:r>
          </w:p>
        </w:tc>
        <w:tc>
          <w:tcPr>
            <w:tcW w:type="dxa" w:w="7632"/>
            <w:vAlign w:val="center"/>
            <w:tcMar>
              <w:top w:w="100" w:type="dxa"/>
              <w:start w:w="100" w:type="dxa"/>
              <w:bottom w:w="100" w:type="dxa"/>
              <w:end w:w="100" w:type="dxa"/>
            </w:tcMar>
          </w:tcPr>
          <w:p>
            <w:r>
              <w:t>Normalized average with weight e</w:t>
            </w:r>
            <w:r>
              <w:rPr>
                <w:vertAlign w:val="superscript"/>
              </w:rPr>
              <w:t>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ψ̄γ</w:t>
            </w:r>
            <w:r>
              <w:rPr>
                <w:vertAlign w:val="superscript"/>
              </w:rPr>
              <w:t>μ</w:t>
            </w:r>
            <w:r>
              <w:t>ψ, the electron number current (electric current −eJ</w:t>
            </w:r>
            <w:r>
              <w:rPr>
                <w:vertAlign w:val="superscript"/>
              </w:rPr>
              <w:t>μ</w:t>
            </w:r>
            <w:r>
              <w:t>)</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w:t>
            </w:r>
            <w:r>
              <w:rPr>
                <w:vertAlign w:val="subscript"/>
              </w:rPr>
              <w:t>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 </m:t>
          </m:r>
          <m:r>
            <m:t xml:space="preserve">Dφ</m:t>
          </m:r>
          <m:r>
            <m:t xml:space="preserve"> </m:t>
          </m:r>
          <m:f>
            <m:num>
              <m:r>
                <m:t xml:space="preserve">δ</m:t>
              </m:r>
            </m:num>
            <m:den>
              <m:r>
                <m:t xml:space="preserve">δφ</m:t>
              </m:r>
              <m:d>
                <m:dPr>
                  <m:begChr m:val="["/>
                  <m:endChr m:val="]"/>
                </m:dPr>
                <m:e>
                  <m:r>
                    <m:t xml:space="preserve">x</m:t>
                  </m:r>
                </m:e>
              </m:d>
            </m:den>
          </m:f>
          <m:r>
            <m:t xml:space="preserve"> </m:t>
          </m:r>
          <m:d>
            <m:dPr>
              <m:begChr m:val="["/>
              <m:endChr m:val="]"/>
            </m:dPr>
            <m:e>
              <m:r>
                <m:t xml:space="preserve">F</m:t>
              </m:r>
              <m:d>
                <m:dPr>
                  <m:begChr m:val="["/>
                  <m:endChr m:val="]"/>
                </m:dPr>
                <m:e>
                  <m:r>
                    <m:t xml:space="preserve">φ</m:t>
                  </m:r>
                </m:e>
              </m:d>
              <m:r>
                <m:t xml:space="preserve"> </m:t>
              </m:r>
              <m:sSup>
                <m:e>
                  <m:r>
                    <m:t xml:space="preserve">e</m:t>
                  </m:r>
                </m:e>
                <m:sup>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r>
                    <m:t xml:space="preserve">J</m:t>
                  </m:r>
                  <m:r>
                    <m:t xml:space="preserve"> </m:t>
                  </m:r>
                  <m:r>
                    <m:t xml:space="preserve">φ</m:t>
                  </m:r>
                </m:sup>
              </m:sSup>
            </m:e>
          </m:d>
          <m:r>
            <m:t xml:space="preserve">=</m:t>
          </m:r>
          <m:r>
            <m:t xml:space="preserve">0</m:t>
          </m:r>
        </m:oMath>
      </m:oMathPara>
    </w:p>
    <w:p>
      <w:r>
        <w:t>for any functional F. It is an integral of a total derivative. Different choices of F, and changes of variables more general than shifts, give the tools of this lesson.</w:t>
      </w:r>
    </w:p>
    <w:p>
      <w:r>
        <w:t>Lesson 81's insertion rule is the companion tool. At nonzero J, −iδ/δJ(x) still brings down φ(x), so δ/δJ produces correlators in the presence of the source. For a free field, the connected two-point function in the presence of J is still D</w:t>
      </w:r>
      <w:r>
        <w:rPr>
          <w:vertAlign w:val="subscript"/>
        </w:rPr>
        <w:t>F</w:t>
      </w:r>
      <w:r>
        <w:t>, and only the mean field changes. In an interacting theory, the connected two-point function depends on J. It is the propagator in the background field the source creates, which is how an electron in an external field (Lesson 86)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sSub>
            <m:e>
              <m:r>
                <m:t xml:space="preserve">⟩</m:t>
              </m:r>
            </m:e>
            <m:sub>
              <m:r>
                <m:t xml:space="preserve">J</m:t>
              </m:r>
            </m:sub>
          </m:sSub>
          <m:r>
            <m:t xml:space="preserve">=</m:t>
          </m:r>
          <m:r>
            <m:t xml:space="preserve">−</m:t>
          </m:r>
          <m:r>
            <m:t xml:space="preserve">J</m:t>
          </m:r>
          <m:d>
            <m:dPr>
              <m:begChr m:val="["/>
              <m:endChr m:val="]"/>
            </m:dPr>
            <m:e>
              <m:r>
                <m:t xml:space="preserve">x</m:t>
              </m:r>
            </m:e>
          </m:d>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d>
            <m:dPr>
              <m:begChr m:val="["/>
              <m:endChr m:val="]"/>
            </m:dPr>
            <m:e>
              <m:f>
                <m:num>
                  <m:r>
                    <m:t xml:space="preserve">δS</m:t>
                  </m:r>
                </m:num>
                <m:den>
                  <m:r>
                    <m:t xml:space="preserve">δφ</m:t>
                  </m:r>
                </m:den>
              </m:f>
              <m:r>
                <m:t xml:space="preserve"> </m:t>
              </m:r>
              <m:d>
                <m:dPr>
                  <m:begChr m:val="["/>
                  <m:endChr m:val="]"/>
                </m:dPr>
                <m:e>
                  <m:r>
                    <m:t xml:space="preserve">−</m:t>
                  </m:r>
                  <m:r>
                    <m:t xml:space="preserve">i</m:t>
                  </m:r>
                  <m:r>
                    <m:t xml:space="preserve"> </m:t>
                  </m:r>
                  <m:f>
                    <m:num>
                      <m:r>
                        <m:t xml:space="preserve">δ</m:t>
                      </m:r>
                    </m:num>
                    <m:den>
                      <m:r>
                        <m:t xml:space="preserve">δJ</m:t>
                      </m:r>
                    </m:den>
                  </m:f>
                </m:e>
              </m:d>
              <m:r>
                <m:t xml:space="preserve">+</m:t>
              </m:r>
              <m:r>
                <m:t xml:space="preserve">J</m:t>
              </m:r>
            </m:e>
          </m:d>
          <m:r>
            <m:t xml:space="preserve"> </m:t>
          </m:r>
          <m:r>
            <m:t xml:space="preserve">Z</m:t>
          </m:r>
          <m:d>
            <m:dPr>
              <m:begChr m:val="["/>
              <m:endChr m:val="]"/>
            </m:dPr>
            <m:e>
              <m:r>
                <m:t xml:space="preserve">J</m:t>
              </m:r>
            </m:e>
          </m:d>
          <m:r>
            <m:t xml:space="preserve">=</m:t>
          </m:r>
          <m:r>
            <m:t xml:space="preserve">0</m:t>
          </m:r>
        </m:oMath>
      </m:oMathPara>
    </w:p>
    <w:p>
      <w:r>
        <w:t>Lesson 81's free solution, Z₀ = Z₀[0] exp(−½∫JD</w:t>
      </w:r>
      <w:r>
        <w:rPr>
          <w:vertAlign w:val="subscript"/>
        </w:rPr>
        <w:t>FJ</w:t>
      </w:r>
      <w:r>
        <w:t>),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w:t>
      </w:r>
      <w:r>
        <w:rPr>
          <w:vertAlign w:val="subscript"/>
        </w:rPr>
        <w:t>x</w:t>
      </w:r>
      <w:r>
        <w:t>⟨Tφ(x)φ(y)⟩ = iδ⁴(x − y). So ⟨Tφφ⟩ is i times the Green's function of K, which is D</w:t>
      </w:r>
      <w:r>
        <w:rPr>
          <w:vertAlign w:val="subscript"/>
        </w:rPr>
        <w:t>F</w:t>
      </w:r>
      <w:r>
        <w:t xml:space="preserve"> = iK⁻¹, with the iε inherited from the weight. For φ⁴ theory, with ℒ ⊃ −λφ⁴/4!, δS/δφ = Kφ − (λ/6)φ³, and</w:t>
      </w:r>
    </w:p>
    <w:p>
      <w:pPr>
        <w:spacing w:before="100" w:after="160"/>
        <w:jc w:val="center"/>
      </w:pPr>
      <m:oMathPara>
        <m:oMath>
          <m:r>
            <m:t xml:space="preserve">−</m:t>
          </m:r>
          <m:d>
            <m:dPr>
              <m:begChr m:val="["/>
              <m:endChr m:val="]"/>
            </m:dPr>
            <m:e>
              <m:sSup>
                <m:e>
                  <m:r>
                    <m:t xml:space="preserve">∂</m:t>
                  </m:r>
                </m:e>
                <m:sup>
                  <m:r>
                    <m:t xml:space="preserve">2</m:t>
                  </m:r>
                </m:sup>
              </m:sSup>
              <m:r>
                <m:t xml:space="preserve">+</m:t>
              </m:r>
              <m:sSup>
                <m:e>
                  <m:r>
                    <m:t xml:space="preserve">m</m:t>
                  </m:r>
                </m:e>
                <m:sup>
                  <m:r>
                    <m:t xml:space="preserve">2</m:t>
                  </m:r>
                </m:sup>
              </m:sSup>
            </m:e>
          </m:d>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m:t>
          </m:r>
          <m:f>
            <m:num>
              <m:r>
                <m:t xml:space="preserve">λ</m:t>
              </m:r>
            </m:num>
            <m:den>
              <m:r>
                <m:t xml:space="preserve">6</m:t>
              </m:r>
            </m:den>
          </m:f>
          <m:r>
            <m:t xml:space="preserve"> </m:t>
          </m:r>
          <m:sSup>
            <m:e>
              <m:r>
                <m:t xml:space="preserve">⟨φ</m:t>
              </m:r>
              <m:d>
                <m:dPr>
                  <m:begChr m:val="["/>
                  <m:endChr m:val="]"/>
                </m:dPr>
                <m:e>
                  <m:r>
                    <m:t xml:space="preserve">x</m:t>
                  </m:r>
                </m:e>
              </m:d>
            </m:e>
            <m:sup>
              <m:r>
                <m:t xml:space="preserve">3</m:t>
              </m:r>
            </m:sup>
          </m:sSup>
          <m:r>
            <m:t xml:space="preserve"> </m:t>
          </m:r>
          <m:r>
            <m:t xml:space="preserve">φ</m:t>
          </m:r>
          <m:d>
            <m:dPr>
              <m:begChr m:val="["/>
              <m:endChr m:val="]"/>
            </m:dPr>
            <m:e>
              <m:r>
                <m:t xml:space="preserve">y</m:t>
              </m:r>
            </m:e>
          </m:d>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80's zero-dimensional model, with weight e</w:t>
      </w:r>
      <w:r>
        <w:rPr>
          <w:vertAlign w:val="superscript"/>
        </w:rPr>
        <w:t>−x²/2 − λx⁴/24</w:t>
      </w:r>
      <w:r>
        <w:t>.</w:t>
      </w:r>
    </w:p>
    <w:p>
      <w:r>
        <w:t>The identity ∫dx d/dx[xⁿe</w:t>
      </w:r>
      <w:r>
        <w:rPr>
          <w:vertAlign w:val="superscript"/>
        </w:rPr>
        <w:t>−x²/2 − λx⁴/24</w:t>
      </w:r>
      <w:r>
        <w:t>] = 0 gives</w:t>
      </w:r>
    </w:p>
    <w:p>
      <w:pPr>
        <w:spacing w:before="100" w:after="160"/>
        <w:jc w:val="center"/>
      </w:pPr>
      <m:oMathPara>
        <m:oMath>
          <m:r>
            <m:t xml:space="preserve">n</m:t>
          </m:r>
          <m:r>
            <m:t xml:space="preserve"> </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r>
            <m:t xml:space="preserve"> </m:t>
          </m:r>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80's result from counting pairings. For n = 3: 3⟨x²⟩ = ⟨x⁴⟩ + (λ/6)⟨x⁶⟩. With ⟨x²⟩ = 1 − λ/2 and ⟨x⁶⟩ = 15 at zeroth order, ⟨x⁴⟩ = 3 − 3λ/2 − 5λ/2 = 3 − 4λ, which is Lesson 81's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d>
            <m:dPr>
              <m:begChr m:val="["/>
              <m:endChr m:val="]"/>
            </m:dPr>
            <m:e>
              <m:r>
                <m:t xml:space="preserve">i</m:t>
              </m:r>
              <m:r>
                <m:t xml:space="preserve"> </m:t>
              </m:r>
              <m:sSub>
                <m:e>
                  <m:acc>
                    <m:accPr>
                      <m:chr m:val="/"/>
                    </m:accPr>
                    <m:e>
                      <m:r>
                        <m:t xml:space="preserve">∂</m:t>
                      </m:r>
                    </m:e>
                  </m:acc>
                </m:e>
                <m:sub>
                  <m:r>
                    <m:t xml:space="preserve">x</m:t>
                  </m:r>
                </m:sub>
              </m:sSub>
              <m:r>
                <m:t xml:space="preserve">−</m:t>
              </m:r>
              <m:r>
                <m:t xml:space="preserve">m</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e</m:t>
          </m:r>
          <m:r>
            <m:t xml:space="preserve"> </m:t>
          </m:r>
          <m:r>
            <m:t xml:space="preserve">⟨</m:t>
          </m:r>
          <m:r>
            <m:t xml:space="preserve"> </m:t>
          </m:r>
          <m:acc>
            <m:accPr>
              <m:chr m:val="/"/>
            </m:accPr>
            <m:e>
              <m:r>
                <m:t xml:space="preserve">A</m:t>
              </m:r>
            </m:e>
          </m:acc>
          <m:d>
            <m:dPr>
              <m:begChr m:val="["/>
              <m:endChr m:val="]"/>
            </m:dPr>
            <m:e>
              <m:r>
                <m:t xml:space="preserve">x</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At e = 0 this is (i∂̸ − m)S</w:t>
      </w:r>
      <w:r>
        <w:rPr>
          <w:vertAlign w:val="subscript"/>
        </w:rPr>
        <w:t>F</w:t>
      </w:r>
      <w:r>
        <w:t xml:space="preserve"> = iδ⁴, the defining property of the free propagator in Lesson 47. With e ≠ 0, the propagator is tied to the electron–photon vertex function, and Lesson 68's self-energy is that vertex function closed on itself. For the photon, δS/δA</w:t>
      </w:r>
      <w:r>
        <w:rPr>
          <w:vertAlign w:val="subscript"/>
        </w:rPr>
        <w:t>ν</w:t>
      </w:r>
      <w:r>
        <w:t xml:space="preserve"> gives Lesson 71's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d>
                <m:dPr>
                  <m:begChr m:val="["/>
                  <m:endChr m:val="]"/>
                </m:dPr>
                <m:e>
                  <m:r>
                    <m:t xml:space="preserve">x</m:t>
                  </m:r>
                </m:e>
              </m:d>
            </m:sup>
          </m:sSup>
          <m:r>
            <m:t xml:space="preserve"> </m:t>
          </m:r>
          <m:r>
            <m:t xml:space="preserve">ψ</m:t>
          </m:r>
          <m:r>
            <m:t xml:space="preserve"> </m:t>
          </m:r>
          <m:r>
            <m:t xml:space="preserve">ψ̄</m:t>
          </m:r>
          <m:r>
            <m:t xml:space="preserve">→</m:t>
          </m:r>
          <m:sSup>
            <m:e>
              <m:r>
                <m:t xml:space="preserve">e</m:t>
              </m:r>
            </m:e>
            <m:sup>
              <m:r>
                <m:t xml:space="preserve">−</m:t>
              </m:r>
              <m:r>
                <m:t xml:space="preserve">iα</m:t>
              </m:r>
              <m:d>
                <m:dPr>
                  <m:begChr m:val="["/>
                  <m:endChr m:val="]"/>
                </m:dPr>
                <m:e>
                  <m:r>
                    <m:t xml:space="preserve">x</m:t>
                  </m:r>
                </m:e>
              </m:d>
            </m:sup>
          </m:sSup>
          <m:r>
            <m:t xml:space="preserve"> </m:t>
          </m:r>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m:t>
                  </m:r>
                </m:e>
                <m:sub>
                  <m:r>
                    <m:t xml:space="preserve">μ</m:t>
                  </m:r>
                </m:sub>
              </m:sSub>
              <m:r>
                <m:t xml:space="preserve"> </m:t>
              </m:r>
              <m:r>
                <m:t xml:space="preserve">α</m:t>
              </m:r>
            </m:e>
          </m:d>
          <m:r>
            <m:t xml:space="preserve"> </m:t>
          </m:r>
          <m:sSup>
            <m:e>
              <m:r>
                <m:t xml:space="preserve">J</m:t>
              </m:r>
            </m:e>
            <m:sup>
              <m:r>
                <m:t xml:space="preserve">μ</m:t>
              </m:r>
            </m:sup>
          </m:sSup>
          <m:r>
            <m:t xml:space="preserve">=</m:t>
          </m:r>
          <m:r>
            <m:t xml:space="preserve">∫</m:t>
          </m:r>
          <m:r>
            <m:t xml:space="preserve"> </m:t>
          </m:r>
          <m:sSup>
            <m:e>
              <m:r>
                <m:t xml:space="preserve">d</m:t>
              </m:r>
            </m:e>
            <m:sup>
              <m:r>
                <m:t xml:space="preserve">4</m:t>
              </m:r>
            </m:sup>
          </m:sSup>
          <m:r>
            <m:t xml:space="preserve">x</m:t>
          </m:r>
          <m:r>
            <m:t xml:space="preserve"> </m:t>
          </m:r>
          <m:r>
            <m:t xml:space="preserve">α</m:t>
          </m:r>
          <m:r>
            <m:t xml:space="preserve"> </m:t>
          </m:r>
          <m:sSub>
            <m:e>
              <m:r>
                <m:t xml:space="preserve">∂</m:t>
              </m:r>
            </m:e>
            <m:sub>
              <m:r>
                <m:t xml:space="preserve">μ</m:t>
              </m:r>
            </m:sub>
          </m:sSub>
          <m:r>
            <m:t xml:space="preserve"> </m:t>
          </m:r>
          <m:sSup>
            <m:e>
              <m:r>
                <m:t xml:space="preserve">J</m:t>
              </m:r>
            </m:e>
            <m:sup>
              <m:r>
                <m:t xml:space="preserve">μ</m:t>
              </m:r>
            </m:sup>
          </m:sSup>
        </m:oMath>
      </m:oMathPara>
    </w:p>
    <w:p>
      <w:r>
        <w:t>with J</w:t>
      </w:r>
      <w:r>
        <w:rPr>
          <w:vertAlign w:val="superscript"/>
        </w:rPr>
        <w:t>μ</w:t>
      </w:r>
      <w:r>
        <w:t xml:space="preserve"> = ψ̄γ</w:t>
      </w:r>
      <w:r>
        <w:rPr>
          <w:vertAlign w:val="superscript"/>
        </w:rPr>
        <w:t>μ</w:t>
      </w:r>
      <w:r>
        <w:t>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w:t>
      </w:r>
      <w:r>
        <w:rPr>
          <w:vertAlign w:val="superscript"/>
        </w:rPr>
        <w:t>iS</w:t>
      </w:r>
      <w:r>
        <w:t xml:space="preserve"> cancel in the average:</w:t>
      </w:r>
    </w:p>
    <w:p>
      <w:pPr>
        <w:spacing w:before="100" w:after="160"/>
        <w:jc w:val="center"/>
      </w:pPr>
      <m:oMathPara>
        <m:oMath>
          <m:r>
            <m:t xml:space="preserve">i</m:t>
          </m:r>
          <m:r>
            <m:t xml:space="preserve"> </m:t>
          </m:r>
          <m:r>
            <m:t xml:space="preserve">⟨δS</m:t>
          </m:r>
          <m:r>
            <m:t xml:space="preserve"> </m:t>
          </m:r>
          <m:r>
            <m:t xml:space="preserve">F⟩</m:t>
          </m:r>
          <m:r>
            <m:t xml:space="preserve">+</m:t>
          </m:r>
          <m:r>
            <m:t xml:space="preserve">i</m:t>
          </m:r>
          <m:r>
            <m:t xml:space="preserve"> </m:t>
          </m:r>
          <m:d>
            <m:dPr>
              <m:begChr m:val="["/>
              <m:endChr m:val="]"/>
            </m:dPr>
            <m:e>
              <m:r>
                <m:t xml:space="preserve">α</m:t>
              </m:r>
              <m:d>
                <m:dPr>
                  <m:begChr m:val="["/>
                  <m:endChr m:val="]"/>
                </m:dPr>
                <m:e>
                  <m:sSub>
                    <m:e>
                      <m:r>
                        <m:t xml:space="preserve">x</m:t>
                      </m:r>
                    </m:e>
                    <m:sub>
                      <m:r>
                        <m:t xml:space="preserve">1</m:t>
                      </m:r>
                    </m:sub>
                  </m:sSub>
                </m:e>
              </m:d>
              <m:r>
                <m:t xml:space="preserve">−</m:t>
              </m:r>
              <m:r>
                <m:t xml:space="preserve">α</m:t>
              </m:r>
              <m:d>
                <m:dPr>
                  <m:begChr m:val="["/>
                  <m:endChr m:val="]"/>
                </m:dPr>
                <m:e>
                  <m:sSub>
                    <m:e>
                      <m:r>
                        <m:t xml:space="preserve">x</m:t>
                      </m:r>
                    </m:e>
                    <m:sub>
                      <m:r>
                        <m:t xml:space="preserve">2</m:t>
                      </m:r>
                    </m:sub>
                  </m:sSub>
                </m:e>
              </m:d>
            </m:e>
          </m:d>
          <m:r>
            <m:t xml:space="preserve"> </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r>
            <m:t xml:space="preserve"> </m:t>
          </m:r>
          <m:sSup>
            <m:e>
              <m:r>
                <m:t xml:space="preserve">⟨J</m:t>
              </m:r>
            </m:e>
            <m:sup>
              <m:r>
                <m:t xml:space="preserve">μ</m:t>
              </m:r>
            </m:sup>
          </m:sSup>
          <m:d>
            <m:dPr>
              <m:begChr m:val="["/>
              <m:endChr m:val="]"/>
            </m:dPr>
            <m:e>
              <m:r>
                <m:t xml:space="preserve">z</m:t>
              </m:r>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r>
            <m:t xml:space="preserve">=</m:t>
          </m:r>
          <m:r>
            <m:t xml:space="preserve">−</m:t>
          </m:r>
          <m:d>
            <m:dPr>
              <m:begChr m:val="["/>
              <m:endChr m:val="]"/>
            </m:dPr>
            <m:e>
              <m:sSup>
                <m:e>
                  <m:r>
                    <m:t xml:space="preserve">δ</m:t>
                  </m:r>
                </m:e>
                <m:sup>
                  <m:r>
                    <m:t xml:space="preserve">4</m:t>
                  </m:r>
                </m:sup>
              </m:sSup>
              <m:d>
                <m:dPr>
                  <m:begChr m:val="["/>
                  <m:endChr m:val="]"/>
                </m:dPr>
                <m:e>
                  <m:r>
                    <m:t xml:space="preserve">z</m:t>
                  </m:r>
                  <m:r>
                    <m:t xml:space="preserve">−</m:t>
                  </m:r>
                  <m:sSub>
                    <m:e>
                      <m:r>
                        <m:t xml:space="preserve">x</m:t>
                      </m:r>
                    </m:e>
                    <m:sub>
                      <m:r>
                        <m:t xml:space="preserve">1</m:t>
                      </m:r>
                    </m:sub>
                  </m:sSub>
                </m:e>
              </m:d>
              <m:r>
                <m:t xml:space="preserve">−</m:t>
              </m:r>
              <m:sSup>
                <m:e>
                  <m:r>
                    <m:t xml:space="preserve">δ</m:t>
                  </m:r>
                </m:e>
                <m:sup>
                  <m:r>
                    <m:t xml:space="preserve">4</m:t>
                  </m:r>
                </m:sup>
              </m:sSup>
              <m:d>
                <m:dPr>
                  <m:begChr m:val="["/>
                  <m:endChr m:val="]"/>
                </m:dPr>
                <m:e>
                  <m:r>
                    <m:t xml:space="preserve">z</m:t>
                  </m:r>
                  <m:r>
                    <m:t xml:space="preserve">−</m:t>
                  </m:r>
                  <m:sSub>
                    <m:e>
                      <m:r>
                        <m:t xml:space="preserve">x</m:t>
                      </m:r>
                    </m:e>
                    <m:sub>
                      <m:r>
                        <m:t xml:space="preserve">2</m:t>
                      </m:r>
                    </m:sub>
                  </m:sSub>
                </m:e>
              </m:d>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w:t>
      </w:r>
      <w:r>
        <w:rPr>
          <w:vertAlign w:val="superscript"/>
        </w:rPr>
        <w:t>μ</w:t>
      </w:r>
      <w:r>
        <w:t xml:space="preserve"> becomes S′(p + q)Γ</w:t>
      </w:r>
      <w:r>
        <w:rPr>
          <w:vertAlign w:val="superscript"/>
        </w:rPr>
        <w:t>μ</w:t>
      </w:r>
      <w:r>
        <w:t>(p + q, p)S′(p), where Γ</w:t>
      </w:r>
      <w:r>
        <w:rPr>
          <w:vertAlign w:val="superscript"/>
        </w:rPr>
        <w:t>μ</w:t>
      </w:r>
      <w:r>
        <w:t xml:space="preserve"> is the 1PI vertex of Lesson 76 without its factor ie. Lesson 82 showed that removing the external propagators leaves 1PI vertices. The derivative becomes q</w:t>
      </w:r>
      <w:r>
        <w:rPr>
          <w:vertAlign w:val="subscript"/>
        </w:rPr>
        <w:t>μ</w:t>
      </w:r>
      <w:r>
        <w:t>,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m:t>
              </m:r>
              <m:r>
                <m:t xml:space="preserve">1</m:t>
              </m:r>
            </m:sup>
          </m:sSup>
          <m:d>
            <m:dPr>
              <m:begChr m:val="["/>
              <m:endChr m:val="]"/>
            </m:dPr>
            <m:e>
              <m:r>
                <m:t xml:space="preserve">p</m:t>
              </m:r>
              <m:r>
                <m:t xml:space="preserve">+</m:t>
              </m:r>
              <m:r>
                <m:t xml:space="preserve">q</m:t>
              </m:r>
            </m:e>
          </m:d>
          <m:r>
            <m:t xml:space="preserve">−</m:t>
          </m:r>
          <m:sSup>
            <m:e>
              <m:r>
                <m:t xml:space="preserve">S′</m:t>
              </m:r>
            </m:e>
            <m:sup>
              <m:r>
                <m:t xml:space="preserve">−</m:t>
              </m:r>
              <m:r>
                <m:t xml:space="preserve">1</m:t>
              </m:r>
            </m:sup>
          </m:sSup>
          <m:d>
            <m:dPr>
              <m:begChr m:val="["/>
              <m:endChr m:val="]"/>
            </m:dPr>
            <m:e>
              <m:r>
                <m:t xml:space="preserve">p</m:t>
              </m:r>
            </m:e>
          </m:d>
        </m:oMath>
      </m:oMathPara>
    </w:p>
    <w:p>
      <w:r>
        <w:t>which is Lesson 72's identity. At q → 0 it gives Γ</w:t>
      </w:r>
      <w:r>
        <w:rPr>
          <w:vertAlign w:val="superscript"/>
        </w:rPr>
        <w:t>μ</w:t>
      </w:r>
      <w:r>
        <w:t>(p, p) = ∂S′⁻¹/∂p</w:t>
      </w:r>
      <w:r>
        <w:rPr>
          <w:vertAlign w:val="subscript"/>
        </w:rPr>
        <w:t>μ</w:t>
      </w:r>
      <w:r>
        <w:t>, and Z₁ = Z₂ follows (Lesson 73).</w:t>
      </w:r>
    </w:p>
    <w:p>
      <w:r>
        <w:rPr>
          <w:b/>
          <w:i/>
        </w:rPr>
        <w:t>Worked example 3</w:t>
      </w:r>
    </w:p>
    <w:p>
      <w:r>
        <w:t>Check the identity at tree level, and say where it fails if a diagram is omitted.</w:t>
      </w:r>
    </w:p>
    <w:p>
      <w:r>
        <w:t>At tree level, Γ</w:t>
      </w:r>
      <w:r>
        <w:rPr>
          <w:vertAlign w:val="superscript"/>
        </w:rPr>
        <w:t>μ</w:t>
      </w:r>
      <w:r>
        <w:t xml:space="preserve"> = γ</w:t>
      </w:r>
      <w:r>
        <w:rPr>
          <w:vertAlign w:val="superscript"/>
        </w:rPr>
        <w:t>μ</w:t>
      </w:r>
      <w:r>
        <w:t xml:space="preserve"> and S⁻¹ = p̸ − m. The right side is (p̸ + q̸ − m) − (p̸ − m) = q̸ = q</w:t>
      </w:r>
      <w:r>
        <w:rPr>
          <w:vertAlign w:val="subscript"/>
        </w:rPr>
        <w:t>μ</w:t>
      </w:r>
      <w:r>
        <w:t>γ</w:t>
      </w:r>
      <w:r>
        <w:rPr>
          <w:vertAlign w:val="superscript"/>
        </w:rPr>
        <w:t>μ</w:t>
      </w:r>
      <w:r>
        <w:t>,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72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w:t>
      </w:r>
      <w:r>
        <w:rPr>
          <w:vertAlign w:val="superscript"/>
        </w:rPr>
        <w:t>−x²/2</w:t>
      </w:r>
      <w:r>
        <w:t>/√(2π) = 1, and substitute x = y + gy². Show that the Jacobian is needed at order g².</w:t>
      </w:r>
    </w:p>
    <w:p>
      <w:r>
        <w:t>The weight becomes e</w:t>
      </w:r>
      <w:r>
        <w:rPr>
          <w:vertAlign w:val="superscript"/>
        </w:rPr>
        <w:t>−(y + gy²)²/2</w:t>
      </w:r>
      <w:r>
        <w:t xml:space="preserve"> = e</w:t>
      </w:r>
      <w:r>
        <w:rPr>
          <w:vertAlign w:val="superscript"/>
        </w:rPr>
        <w:t>−y²/2</w:t>
      </w:r>
      <w:r>
        <w:t>e</w:t>
      </w:r>
      <w:r>
        <w:rPr>
          <w:vertAlign w:val="superscript"/>
        </w:rPr>
        <w:t>−gy³ − g²y⁴/2</w:t>
      </w:r>
      <w:r>
        <w:t>.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w:t>
      </w:r>
      <w:r>
        <w:rPr>
          <w:vertAlign w:val="superscript"/>
        </w:rPr>
        <w:t>iβγ⁵</w:t>
      </w:r>
      <w:r>
        <w:t>ψ, ψ̄ → ψ̄e</w:t>
      </w:r>
      <w:r>
        <w:rPr>
          <w:vertAlign w:val="superscript"/>
        </w:rPr>
        <w:t>iβγ⁵</w:t>
      </w:r>
      <w:r>
        <w:t>. Classically the axial current J</w:t>
      </w:r>
      <w:r>
        <w:rPr>
          <w:vertAlign w:val="superscript"/>
        </w:rPr>
        <w:t>μ5</w:t>
      </w:r>
      <w:r>
        <w:t xml:space="preserve"> = ψ̄γ</w:t>
      </w:r>
      <w:r>
        <w:rPr>
          <w:vertAlign w:val="superscript"/>
        </w:rPr>
        <w:t>μ</w:t>
      </w:r>
      <w:r>
        <w:t>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func>
            <m:fName>
              <m:r>
                <m:t xml:space="preserve">exp</m:t>
              </m:r>
            </m:fName>
            <m:e>
              <m:d>
                <m:dPr>
                  <m:begChr m:val="["/>
                  <m:endChr m:val="]"/>
                </m:dPr>
                <m:e>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β</m:t>
                  </m:r>
                  <m:d>
                    <m:dPr>
                      <m:begChr m:val="["/>
                      <m:endChr m:val="]"/>
                    </m:dPr>
                    <m:e>
                      <m:r>
                        <m:t xml:space="preserve">x</m:t>
                      </m:r>
                    </m:e>
                  </m:d>
                  <m:r>
                    <m:t xml:space="preserve"> </m:t>
                  </m:r>
                  <m:d>
                    <m:dPr/>
                    <m:e>
                      <m:f>
                        <m:num>
                          <m:sSup>
                            <m:e>
                              <m:r>
                                <m:t xml:space="preserve">e</m:t>
                              </m:r>
                            </m:e>
                            <m:sup>
                              <m:r>
                                <m:t xml:space="preserve">2</m:t>
                              </m:r>
                            </m:sup>
                          </m:sSup>
                        </m:num>
                        <m:den>
                          <m:sSup>
                            <m:e>
                              <m:r>
                                <m:t xml:space="preserve">16π</m:t>
                              </m:r>
                            </m:e>
                            <m:sup>
                              <m:r>
                                <m:t xml:space="preserve">2</m:t>
                              </m:r>
                            </m:sup>
                          </m:sSup>
                        </m:den>
                      </m:f>
                    </m:e>
                  </m:d>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e>
              </m:d>
            </m:e>
          </m:func>
        </m:oMath>
      </m:oMathPara>
    </w:p>
    <w:p>
      <w:r>
        <w:t>The rotation changes the massless action by δS = ∫β∂</w:t>
      </w:r>
      <w:r>
        <w:rPr>
          <w:vertAlign w:val="subscript"/>
        </w:rPr>
        <w:t>μ</w:t>
      </w:r>
      <w:r>
        <w:t>J</w:t>
      </w:r>
      <w:r>
        <w:rPr>
          <w:vertAlign w:val="superscript"/>
        </w:rPr>
        <w:t>μ5</w:t>
      </w:r>
      <w:r>
        <w:t>. The Jacobian adds to it, and Section 3.2's argument gives, instead of a conservation law,</w:t>
      </w:r>
    </w:p>
    <w:p>
      <w:pPr>
        <w:spacing w:before="100" w:after="160"/>
        <w:jc w:val="center"/>
      </w:pPr>
      <m:oMathPara>
        <m:oMath>
          <m:sSub>
            <m:e>
              <m:r>
                <m:t xml:space="preserve">∂</m:t>
              </m:r>
            </m:e>
            <m:sub>
              <m:r>
                <m:t xml:space="preserve">μ</m:t>
              </m:r>
            </m:sub>
          </m:sSub>
          <m:r>
            <m:t xml:space="preserve"> </m:t>
          </m:r>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oMath>
      </m:oMathPara>
    </w:p>
    <w:p>
      <w:r>
        <w:t>with the overall sign depending on the convention for ε</w:t>
      </w:r>
      <w:r>
        <w:rPr>
          <w:vertAlign w:val="superscript"/>
        </w:rPr>
        <w:t>0123</w:t>
      </w:r>
      <w:r>
        <w:t>.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w:t>
      </w:r>
      <w:r>
        <w:rPr>
          <w:vertAlign w:val="subscript"/>
        </w:rPr>
        <w:t>c</w:t>
      </w:r>
      <w:r>
        <w:t xml:space="preserve"> = 3 quark colors and quark charges 2/3 and −1/3, the amplitude is fixed and the rate is Γ = α²m</w:t>
      </w:r>
      <w:r>
        <w:rPr>
          <w:vertAlign w:val="subscript"/>
        </w:rPr>
        <w:t>π</w:t>
      </w:r>
      <w:r>
        <w:t>³/(64π³f</w:t>
      </w:r>
      <w:r>
        <w:rPr>
          <w:vertAlign w:val="subscript"/>
        </w:rPr>
        <w:t>π</w:t>
      </w:r>
      <w:r>
        <w:t>²). Evaluate it.</w:t>
      </w:r>
    </w:p>
    <w:p>
      <w:r>
        <w:t>With α = 1/137.036, m</w:t>
      </w:r>
      <w:r>
        <w:rPr>
          <w:vertAlign w:val="subscript"/>
        </w:rPr>
        <w:t>π</w:t>
      </w:r>
      <w:r>
        <w:t xml:space="preserve"> = 134.977 MeV, and f</w:t>
      </w:r>
      <w:r>
        <w:rPr>
          <w:vertAlign w:val="subscript"/>
        </w:rPr>
        <w:t>π</w:t>
      </w:r>
      <w:r>
        <w:t xml:space="preserve"> = 92.1 MeV: α² = 5.325×10⁻⁵ and m</w:t>
      </w:r>
      <w:r>
        <w:rPr>
          <w:vertAlign w:val="subscript"/>
        </w:rPr>
        <w:t>π</w:t>
      </w:r>
      <w:r>
        <w:t>³ = 2.459×10⁶ MeV³, so α²m</w:t>
      </w:r>
      <w:r>
        <w:rPr>
          <w:vertAlign w:val="subscript"/>
        </w:rPr>
        <w:t>π</w:t>
      </w:r>
      <w:r>
        <w:t>³ = 130.9 MeV³. Dividing by 64π³ = 1984.4 gives 0.06598 MeV³. Dividing by f</w:t>
      </w:r>
      <w:r>
        <w:rPr>
          <w:vertAlign w:val="subscript"/>
        </w:rPr>
        <w:t>π</w:t>
      </w:r>
      <w:r>
        <w:t>² = 8482 MeV² gives 7.78×10⁻⁶ MeV, or 7.8 eV. The PrimEx-II experiment measured 7.80 ± 0.12 eV. The prediction has no free parameter. The color factor enters as N</w:t>
      </w:r>
      <w:r>
        <w:rPr>
          <w:vertAlign w:val="subscript"/>
        </w:rPr>
        <w:t>c</w:t>
      </w:r>
      <w:r>
        <w:t>(Q</w:t>
      </w:r>
      <w:r>
        <w:rPr>
          <w:vertAlign w:val="subscript"/>
        </w:rPr>
        <w:t>u</w:t>
      </w:r>
      <w:r>
        <w:t>² − Q</w:t>
      </w:r>
      <w:r>
        <w:rPr>
          <w:vertAlign w:val="subscript"/>
        </w:rPr>
        <w:t>d</w:t>
      </w:r>
      <w:r>
        <w:t>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r>
        <w:t>Lesson 80, Section 6.1, found that the photon integral runs along gauge orbits on which the action is constant. The same problem in two dimensions shows how to factor out the orbit.</w:t>
      </w:r>
    </w:p>
    <w:p>
      <w:r>
        <w:rPr>
          <w:b/>
          <w:i/>
        </w:rPr>
        <w:t>Worked example 6</w:t>
      </w:r>
    </w:p>
    <w:p>
      <w:r>
        <w:t>Let Z = ∫d²v e</w:t>
      </w:r>
      <w:r>
        <w:rPr>
          <w:vertAlign w:val="superscript"/>
        </w:rPr>
        <w:t>−S(|v|)</w:t>
      </w:r>
      <w:r>
        <w:t>, which is invariant under rotations v → v</w:t>
      </w:r>
      <w:r>
        <w:rPr>
          <w:vertAlign w:val="superscript"/>
        </w:rPr>
        <w:t>θ</w:t>
      </w:r>
      <w:r>
        <w:t>. Fix the "gauge" v</w:t>
      </w:r>
      <w:r>
        <w:rPr>
          <w:vertAlign w:val="subscript"/>
        </w:rPr>
        <w:t>y</w:t>
      </w:r>
      <w:r>
        <w:t xml:space="preserve"> = 0, and find what replaces the lost integral.</w:t>
      </w:r>
    </w:p>
    <w:p>
      <w:r>
        <w:t>Insert 1 in the form 1 = ½∫dθ δ(G(v</w:t>
      </w:r>
      <w:r>
        <w:rPr>
          <w:vertAlign w:val="superscript"/>
        </w:rPr>
        <w:t>θ</w:t>
      </w:r>
      <w:r>
        <w:t>))|∂G(v</w:t>
      </w:r>
      <w:r>
        <w:rPr>
          <w:vertAlign w:val="superscript"/>
        </w:rPr>
        <w:t>θ</w:t>
      </w:r>
      <w:r>
        <w:t>)/∂θ|, with G(v) = v</w:t>
      </w:r>
      <w:r>
        <w:rPr>
          <w:vertAlign w:val="subscript"/>
        </w:rPr>
        <w:t>y</w:t>
      </w:r>
      <w:r>
        <w:t>. The factor ½ is there because sin(φ + θ) = 0 has two solutions in a full turn, a toy version of Gribov copies. At those solutions |∂G/∂θ| = |v| = r. So Z = ½∫dθ∫d²v δ(v</w:t>
      </w:r>
      <w:r>
        <w:rPr>
          <w:vertAlign w:val="subscript"/>
        </w:rPr>
        <w:t>y</w:t>
      </w:r>
      <w:r>
        <w:rPr>
          <w:vertAlign w:val="superscript"/>
        </w:rPr>
        <w:t>θ</w:t>
      </w:r>
      <w:r>
        <w:t>) r e</w:t>
      </w:r>
      <w:r>
        <w:rPr>
          <w:vertAlign w:val="superscript"/>
        </w:rPr>
        <w:t>−S</w:t>
      </w:r>
      <w:r>
        <w:t>. Change variables v → v</w:t>
      </w:r>
      <w:r>
        <w:rPr>
          <w:vertAlign w:val="superscript"/>
        </w:rPr>
        <w:t>−θ</w:t>
      </w:r>
      <w:r>
        <w:t>.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 </m:t>
          </m:r>
          <m:r>
            <m:t xml:space="preserve">∫</m:t>
          </m:r>
          <m:r>
            <m:t xml:space="preserve"> </m:t>
          </m:r>
          <m:sSub>
            <m:e>
              <m:r>
                <m:t xml:space="preserve">dv</m:t>
              </m:r>
            </m:e>
            <m:sub>
              <m:r>
                <m:t xml:space="preserve">x</m:t>
              </m:r>
            </m:sub>
          </m:sSub>
          <m:r>
            <m:t xml:space="preserve"> </m:t>
          </m:r>
          <m:sSub>
            <m:e>
              <m:r>
                <m:t xml:space="preserve">dv</m:t>
              </m:r>
            </m:e>
            <m:sub>
              <m:r>
                <m:t xml:space="preserve">y</m:t>
              </m:r>
            </m:sub>
          </m:sSub>
          <m:r>
            <m:t xml:space="preserve"> </m:t>
          </m:r>
          <m:r>
            <m:t xml:space="preserve">δ</m:t>
          </m:r>
          <m:d>
            <m:dPr>
              <m:begChr m:val="["/>
              <m:endChr m:val="]"/>
            </m:dPr>
            <m:e>
              <m:sSub>
                <m:e>
                  <m:r>
                    <m:t xml:space="preserve">v</m:t>
                  </m:r>
                </m:e>
                <m:sub>
                  <m:r>
                    <m:t xml:space="preserve">y</m:t>
                  </m:r>
                </m:sub>
              </m:sSub>
            </m:e>
          </m:d>
          <m:r>
            <m:t xml:space="preserve"> </m:t>
          </m:r>
          <m:d>
            <m:dPr>
              <m:begChr m:val="|"/>
              <m:endChr m:val="|"/>
            </m:dPr>
            <m:e>
              <m:sSub>
                <m:e>
                  <m:r>
                    <m:t xml:space="preserve">v</m:t>
                  </m:r>
                </m:e>
                <m:sub>
                  <m:r>
                    <m:t xml:space="preserve">x</m:t>
                  </m:r>
                </m:sub>
              </m:sSub>
            </m:e>
          </m:d>
          <m:r>
            <m:t xml:space="preserve"> </m:t>
          </m:r>
          <m:sSup>
            <m:e>
              <m:r>
                <m:t xml:space="preserve">e</m:t>
              </m:r>
            </m:e>
            <m:sup>
              <m:r>
                <m:t xml:space="preserve">−</m:t>
              </m:r>
              <m:r>
                <m:t xml:space="preserve">S</m:t>
              </m:r>
              <m:d>
                <m:dPr>
                  <m:begChr m:val="["/>
                  <m:endChr m:val="]"/>
                </m:dPr>
                <m:e>
                  <m:d>
                    <m:dPr>
                      <m:begChr m:val="|"/>
                      <m:endChr m:val="|"/>
                    </m:dPr>
                    <m:e>
                      <m:sSub>
                        <m:e>
                          <m:r>
                            <m:t xml:space="preserve">v</m:t>
                          </m:r>
                        </m:e>
                        <m:sub>
                          <m:r>
                            <m:t xml:space="preserve">x</m:t>
                          </m:r>
                        </m:sub>
                      </m:sSub>
                    </m:e>
                  </m:d>
                </m:e>
              </m:d>
            </m:sup>
          </m:sSup>
          <m:r>
            <m:t xml:space="preserve">=</m:t>
          </m:r>
          <m:r>
            <m:t xml:space="preserve">2π</m:t>
          </m:r>
          <m:r>
            <m:t xml:space="preserve"> </m:t>
          </m:r>
          <m:sSubSup>
            <m:e>
              <m:r>
                <m:t xml:space="preserve">∫</m:t>
              </m:r>
            </m:e>
            <m:sub>
              <m:r>
                <m:t xml:space="preserve">0</m:t>
              </m:r>
            </m:sub>
            <m:sup>
              <m:r>
                <m:t xml:space="preserve">∞</m:t>
              </m:r>
            </m:sup>
          </m:sSubSup>
          <m:r>
            <m:t xml:space="preserve"> </m:t>
          </m:r>
          <m:r>
            <m:t xml:space="preserve">r</m:t>
          </m:r>
          <m:r>
            <m:t xml:space="preserve"> </m:t>
          </m:r>
          <m:sSup>
            <m:e>
              <m:r>
                <m:t xml:space="preserve">e</m:t>
              </m:r>
            </m:e>
            <m:sup>
              <m:r>
                <m:t xml:space="preserve">−</m:t>
              </m:r>
              <m:r>
                <m:t xml:space="preserve">S</m:t>
              </m:r>
              <m:d>
                <m:dPr>
                  <m:begChr m:val="["/>
                  <m:endChr m:val="]"/>
                </m:dPr>
                <m:e>
                  <m:r>
                    <m:t xml:space="preserve">r</m:t>
                  </m:r>
                </m:e>
              </m:d>
            </m:sup>
          </m:sSup>
          <m:r>
            <m:t xml:space="preserve"> </m:t>
          </m:r>
          <m:r>
            <m:t xml:space="preserve">dr</m:t>
          </m:r>
        </m:oMath>
      </m:oMathPara>
    </w:p>
    <w:p>
      <w:r>
        <w:t>This is the correct result in polar coordinates. The factor |v</w:t>
      </w:r>
      <w:r>
        <w:rPr>
          <w:vertAlign w:val="subscript"/>
        </w:rPr>
        <w:t>x</w:t>
      </w:r>
      <w:r>
        <w:t>|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 </m:t>
          </m:r>
          <m:r>
            <m:t xml:space="preserve">Dα</m:t>
          </m:r>
          <m:r>
            <m:t xml:space="preserve"> </m:t>
          </m:r>
          <m:r>
            <m:t xml:space="preserve">δ</m:t>
          </m:r>
          <m:d>
            <m:dPr>
              <m:begChr m:val="["/>
              <m:endChr m:val="]"/>
            </m:dPr>
            <m:e>
              <m:r>
                <m:t xml:space="preserve">G</m:t>
              </m:r>
              <m:d>
                <m:dPr>
                  <m:begChr m:val="["/>
                  <m:endChr m:val="]"/>
                </m:dPr>
                <m:e>
                  <m:sSup>
                    <m:e>
                      <m:r>
                        <m:t xml:space="preserve">A</m:t>
                      </m:r>
                    </m:e>
                    <m:sup>
                      <m:r>
                        <m:t xml:space="preserve">α</m:t>
                      </m:r>
                    </m:sup>
                  </m:sSup>
                </m:e>
              </m:d>
            </m:e>
          </m:d>
          <m:r>
            <m:t xml:space="preserve"> </m:t>
          </m:r>
          <m:func>
            <m:fName>
              <m:r>
                <m:t xml:space="preserve">det</m:t>
              </m:r>
            </m:fName>
            <m:e>
              <m:d>
                <m:dPr>
                  <m:begChr m:val="["/>
                  <m:endChr m:val="]"/>
                </m:dPr>
                <m:e>
                  <m:f>
                    <m:num>
                      <m:r>
                        <m:t xml:space="preserve">δG</m:t>
                      </m:r>
                      <m:d>
                        <m:dPr>
                          <m:begChr m:val="["/>
                          <m:endChr m:val="]"/>
                        </m:dPr>
                        <m:e>
                          <m:sSup>
                            <m:e>
                              <m:r>
                                <m:t xml:space="preserve">A</m:t>
                              </m:r>
                            </m:e>
                            <m:sup>
                              <m:r>
                                <m:t xml:space="preserve">α</m:t>
                              </m:r>
                            </m:sup>
                          </m:sSup>
                        </m:e>
                      </m:d>
                    </m:num>
                    <m:den>
                      <m:r>
                        <m:t xml:space="preserve">δα</m:t>
                      </m:r>
                    </m:den>
                  </m:f>
                </m:e>
              </m:d>
            </m:e>
          </m:func>
        </m:oMath>
      </m:oMathPara>
    </w:p>
    <w:p>
      <w:r>
        <w:t>with A</w:t>
      </w:r>
      <w:r>
        <w:rPr>
          <w:vertAlign w:val="superscript"/>
        </w:rPr>
        <w:t>α</w:t>
      </w:r>
      <w:r>
        <w:t xml:space="preserve"> = A + ∂α and G[A] = ∂·A − ω(x) for a fixed function ω. Then δG/δα = ∂², which does not depend on A. In QED the determinant is a constant and cancels in every normalized correlator. Change variables A → A</w:t>
      </w:r>
      <w:r>
        <w:rPr>
          <w:vertAlign w:val="superscript"/>
        </w:rPr>
        <w:t>−α</w:t>
      </w:r>
      <w:r>
        <w:t xml:space="preserve">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r>
            <m:t xml:space="preserve"> </m:t>
          </m:r>
          <m:sSup>
            <m:e>
              <m:d>
                <m:dPr/>
                <m:e>
                  <m:r>
                    <m:t xml:space="preserve">∂</m:t>
                  </m:r>
                  <m:r>
                    <m:t xml:space="preserve">·</m:t>
                  </m:r>
                  <m:r>
                    <m:t xml:space="preserve">A</m:t>
                  </m:r>
                </m:e>
              </m:d>
            </m:e>
            <m:sup>
              <m:r>
                <m:t xml:space="preserve">2</m:t>
              </m:r>
            </m:sup>
          </m:sSup>
        </m:oMath>
      </m:oMathPara>
    </w:p>
    <w:p>
      <w:r>
        <w:t>which is Lesson 71's gauge-fixing term. It is now derived, along with the reason physical results do not depend on ξ: ξ is the width of a Gaussian average over gauge conditions, each of which gives the same answer for gauge-invariant quantities. In a non-abelian theory, A</w:t>
      </w:r>
      <w:r>
        <w:rPr>
          <w:vertAlign w:val="superscript"/>
        </w:rPr>
        <w:t>α</w:t>
      </w:r>
      <w:r>
        <w:t xml:space="preserve">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w:t>
            </w:r>
            <w:r>
              <w:rPr>
                <w:vertAlign w:val="subscript"/>
              </w:rPr>
              <w:t>J</w:t>
            </w:r>
            <w:r>
              <w:t xml:space="preserve"> = −J</w:t>
            </w:r>
          </w:p>
        </w:tc>
        <w:tc>
          <w:tcPr>
            <w:tcW w:type="dxa" w:w="6528"/>
            <w:vAlign w:val="center"/>
            <w:tcMar>
              <w:top w:w="100" w:type="dxa"/>
              <w:start w:w="100" w:type="dxa"/>
              <w:bottom w:w="100" w:type="dxa"/>
              <w:end w:w="100" w:type="dxa"/>
            </w:tcMar>
          </w:tcPr>
          <w:p>
            <w:r>
              <w:t>Field equations inside correlators; external fields, Lesson 86</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72 and 73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87</w:t>
            </w:r>
          </w:p>
        </w:tc>
      </w:tr>
      <w:tr>
        <w:tc>
          <w:tcPr>
            <w:tcW w:type="dxa" w:w="3264"/>
            <w:vAlign w:val="center"/>
            <w:shd w:fill="EAF2F8"/>
            <w:tcMar>
              <w:top w:w="100" w:type="dxa"/>
              <w:start w:w="100" w:type="dxa"/>
              <w:bottom w:w="100" w:type="dxa"/>
              <w:end w:w="100" w:type="dxa"/>
            </w:tcMar>
          </w:tcPr>
          <w:p>
            <w:r>
              <w:t>Faddeev–Popov, ℒ</w:t>
            </w:r>
            <w:r>
              <w:rPr>
                <w:vertAlign w:val="subscript"/>
              </w:rPr>
              <w:t>gf</w:t>
            </w:r>
            <w:r>
              <w:t xml:space="preserve"> derived</w:t>
            </w:r>
          </w:p>
        </w:tc>
        <w:tc>
          <w:tcPr>
            <w:tcW w:type="dxa" w:w="6528"/>
            <w:vAlign w:val="center"/>
            <w:shd w:fill="EAF2F8"/>
            <w:tcMar>
              <w:top w:w="100" w:type="dxa"/>
              <w:start w:w="100" w:type="dxa"/>
              <w:bottom w:w="100" w:type="dxa"/>
              <w:end w:w="100" w:type="dxa"/>
            </w:tcMar>
          </w:tcPr>
          <w:p>
            <w:r>
              <w:t>Lesson 71 justified; Feynman rules, Lesson 84</w:t>
            </w:r>
          </w:p>
        </w:tc>
      </w:tr>
    </w:tbl>
    <w:p>
      <w:pPr>
        <w:pStyle w:val="Heading2"/>
      </w:pPr>
      <w:r>
        <w:t>8 Summary</w:t>
      </w:r>
    </w:p>
    <w:p>
      <w:pPr>
        <w:pStyle w:val="ListNumber"/>
        <w:numPr>
          <w:ilvl w:val="0"/>
          <w:numId w:val="10"/>
        </w:numPr>
      </w:pPr>
      <w:r>
        <w:t>The integration variable of a path integral is a dummy. A total derivative integrates to zero, and a change of variables changes nothing but the Jacobian.</w:t>
      </w:r>
    </w:p>
    <w:p>
      <w:pPr>
        <w:pStyle w:val="ListNumber"/>
        <w:numPr>
          <w:ilvl w:val="0"/>
          <w:numId w:val="10"/>
        </w:numPr>
      </w:pPr>
      <w:r>
        <w:t>Shifts give the Schwinger–Dyson equations: ⟨δS/δφ⟩</w:t>
      </w:r>
      <w:r>
        <w:rPr>
          <w:vertAlign w:val="subscript"/>
        </w:rPr>
        <w:t>J</w:t>
      </w:r>
      <w:r>
        <w:t xml:space="preserve"> = −J, with a contact term iδ⁴ whenever the point coincides with an inserted field.</w:t>
      </w:r>
    </w:p>
    <w:p>
      <w:pPr>
        <w:pStyle w:val="ListNumber"/>
        <w:numPr>
          <w:ilvl w:val="0"/>
          <w:numId w:val="10"/>
        </w:numPr>
      </w:pPr>
      <w:r>
        <w:t>In a zero-dimensional model, the Schwinger–Dyson recursion reproduces perturbation theory without diagrams.</w:t>
      </w:r>
    </w:p>
    <w:p>
      <w:pPr>
        <w:pStyle w:val="ListNumber"/>
        <w:numPr>
          <w:ilvl w:val="0"/>
          <w:numId w:val="10"/>
        </w:numPr>
      </w:pPr>
      <w:r>
        <w:t>A local phase rotation of ψ, with A fixed, gives δS = ∫α∂·J and the position-space Ward–Takahashi identity, which becomes q</w:t>
      </w:r>
      <w:r>
        <w:rPr>
          <w:vertAlign w:val="subscript"/>
        </w:rPr>
        <w:t>μ</w:t>
      </w:r>
      <w:r>
        <w:t>Γ</w:t>
      </w:r>
      <w:r>
        <w:rPr>
          <w:vertAlign w:val="superscript"/>
        </w:rPr>
        <w:t>μ</w:t>
      </w:r>
      <w:r>
        <w:t xml:space="preserve"> = S′⁻¹(p + q) − S′⁻¹(p).</w:t>
      </w:r>
    </w:p>
    <w:p>
      <w:pPr>
        <w:pStyle w:val="ListNumber"/>
        <w:numPr>
          <w:ilvl w:val="0"/>
          <w:numId w:val="10"/>
        </w:numPr>
      </w:pPr>
      <w:r>
        <w:t>A Jacobian acts as an interaction, and omitting it gives wrong answers.</w:t>
      </w:r>
    </w:p>
    <w:p>
      <w:pPr>
        <w:pStyle w:val="ListNumber"/>
        <w:numPr>
          <w:ilvl w:val="0"/>
          <w:numId w:val="10"/>
        </w:numPr>
      </w:pPr>
      <w:r>
        <w:t>The chiral Jacobian gives the anomaly ∂·J⁵ ∝ εFF, which fixes the π⁰ → γγ width at 7.8 eV and counts three colors.</w:t>
      </w:r>
    </w:p>
    <w:p>
      <w:pPr>
        <w:pStyle w:val="ListNumber"/>
        <w:numPr>
          <w:ilvl w:val="0"/>
          <w:numId w:val="10"/>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∫dx f′(x) = 0 from the invariance of ∫dx f(x) under x → x + ε, and state the conditions needed.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⟨δS/δφ(x)⟩</w:t>
            </w:r>
            <w:r>
              <w:rPr>
                <w:vertAlign w:val="subscript"/>
              </w:rPr>
              <w:t>J</w:t>
            </w:r>
            <w:r>
              <w:t xml:space="preserve"> = −J(x) from Section 1 with F =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Z₀[J] = Z₀[0]exp(−½∫JD</w:t>
            </w:r>
            <w:r>
              <w:rPr>
                <w:vertAlign w:val="subscript"/>
              </w:rPr>
              <w:t>FJ</w:t>
            </w:r>
            <w:r>
              <w:t>) satisfies [K(−iδ/δJ) + J]Z₀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the contact term in ⟨(δS/δφ(x))φ(y)⟩ = iδ⁴(x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the zero-dimensional recursion with n = 5, find ⟨x⁶⟩ to first order in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Write the Schwinger–Dyson equation for the electron two-point function and identify the term that becomes the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the change of ψ̄iγ</w:t>
            </w:r>
            <w:r>
              <w:rPr>
                <w:vertAlign w:val="superscript"/>
              </w:rPr>
              <w:t>μ</w:t>
            </w:r>
            <w:r>
              <w:t>∂</w:t>
            </w:r>
            <w:r>
              <w:rPr>
                <w:vertAlign w:val="subscript"/>
              </w:rPr>
              <w:t>μ</w:t>
            </w:r>
            <w:r>
              <w:t>ψ under ψ → e</w:t>
            </w:r>
            <w:r>
              <w:rPr>
                <w:vertAlign w:val="superscript"/>
              </w:rPr>
              <w:t>iα(x)</w:t>
            </w:r>
            <w:r>
              <w:t>ψ, ψ̄ → e</w:t>
            </w:r>
            <w:r>
              <w:rPr>
                <w:vertAlign w:val="superscript"/>
              </w:rPr>
              <w:t>−iα(x)</w:t>
            </w:r>
            <w:r>
              <w:t>ψ̄.</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Why does the interaction term eψ̄A̸ψ not contribute to δS in Section 3.1?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integrating Section 3.2's identity over all z gives zero, and interpret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the momentum-space Ward–Takahashi identity at tree level.</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In Worked example 4, compute the order-g² change in Z without the Jacobian, and show that the Jacobian cancels it.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Why do ψ and ψ̄ rotating by the same phase under a chiral rotation make a nontrivial Jacobian possible, while opposite phases do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Recompute the π⁰ width with f</w:t>
            </w:r>
            <w:r>
              <w:rPr>
                <w:vertAlign w:val="subscript"/>
              </w:rPr>
              <w:t>π</w:t>
            </w:r>
            <w:r>
              <w:t xml:space="preserve"> = 92.1 MeV and convert it to a lifetime, using ℏ = 6.582×10⁻²² MeV 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In Worked example 6, show that |∂G(v</w:t>
            </w:r>
            <w:r>
              <w:rPr>
                <w:vertAlign w:val="superscript"/>
              </w:rPr>
              <w:t>θ</w:t>
            </w:r>
            <w:r>
              <w:t>)/∂θ| = r at each zero, and explain the factor ½.</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Show that for G = ∂·A − ω, δG[A</w:t>
            </w:r>
            <w:r>
              <w:rPr>
                <w:vertAlign w:val="superscript"/>
              </w:rPr>
              <w:t>α</w:t>
            </w:r>
            <w:r>
              <w:t>]/δα = ∂², and explain why this makes the QED ghosts free.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averaging δ(∂·A − ω) over ω with weight exp[−(i/2ξ)∫ω²] produces ℒ</w:t>
            </w:r>
            <w:r>
              <w:rPr>
                <w:vertAlign w:val="subscript"/>
              </w:rPr>
              <w:t>gf</w:t>
            </w:r>
            <w:r>
              <w:t xml:space="preserve"> = −(∂·A)²/2ξ, and that ξ → 0 gives Landau gauge, ∂·A = 0 exactly.</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w:t>
      </w:r>
      <w:r>
        <w:rPr>
          <w:vertAlign w:val="superscript"/>
        </w:rPr>
        <w:t>iS + iJφ</w:t>
      </w:r>
      <w:r>
        <w:t>. Its integral vanishes, so dividing by iZ gives ⟨δS/δφ⟩</w:t>
      </w:r>
      <w:r>
        <w:rPr>
          <w:vertAlign w:val="subscript"/>
        </w:rPr>
        <w:t>J</w:t>
      </w:r>
      <w:r>
        <w:t xml:space="preserve"> + J = 0.</w:t>
      </w:r>
    </w:p>
    <w:p>
      <w:r>
        <w:rPr>
          <w:b/>
        </w:rPr>
        <w:t>3.</w:t>
      </w:r>
      <w:r>
        <w:t xml:space="preserve"> </w:t>
      </w:r>
      <w:r>
        <w:t>−iδ/δJ(x) on Z₀ gives i(D</w:t>
      </w:r>
      <w:r>
        <w:rPr>
          <w:vertAlign w:val="subscript"/>
        </w:rPr>
        <w:t>FJ</w:t>
      </w:r>
      <w:r>
        <w:t>)(x)Z₀. K acting on this gives i·iJ Z₀ = −JZ₀, using KD</w:t>
      </w:r>
      <w:r>
        <w:rPr>
          <w:vertAlign w:val="subscript"/>
        </w:rPr>
        <w:t>F</w:t>
      </w:r>
      <w:r>
        <w:t xml:space="preserve"> = iδ⁴. Adding JZ₀ gives zero.</w:t>
      </w:r>
    </w:p>
    <w:p>
      <w:r>
        <w:rPr>
          <w:b/>
        </w:rPr>
        <w:t>4.</w:t>
      </w:r>
      <w:r>
        <w:t xml:space="preserve"> </w:t>
      </w:r>
      <w:r>
        <w:t>δ/δφ(x)[φ(y)e</w:t>
      </w:r>
      <w:r>
        <w:rPr>
          <w:vertAlign w:val="superscript"/>
        </w:rPr>
        <w:t>iS</w:t>
      </w:r>
      <w:r>
        <w:t>] = δ⁴(x − y)e</w:t>
      </w:r>
      <w:r>
        <w:rPr>
          <w:vertAlign w:val="superscript"/>
        </w:rPr>
        <w:t>iS</w:t>
      </w:r>
      <w:r>
        <w:t xml:space="preserve"> + iφ(y)(δS/δφ(x))e</w:t>
      </w:r>
      <w:r>
        <w:rPr>
          <w:vertAlign w:val="superscript"/>
        </w:rPr>
        <w:t>iS</w:t>
      </w:r>
      <w:r>
        <w:t>.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w:t>
      </w:r>
      <w:r>
        <w:rPr>
          <w:vertAlign w:val="superscript"/>
        </w:rPr>
        <w:t>−iα</w:t>
      </w:r>
      <w:r>
        <w:t>iγ</w:t>
      </w:r>
      <w:r>
        <w:rPr>
          <w:vertAlign w:val="superscript"/>
        </w:rPr>
        <w:t>μ</w:t>
      </w:r>
      <w:r>
        <w:t>∂</w:t>
      </w:r>
      <w:r>
        <w:rPr>
          <w:vertAlign w:val="subscript"/>
        </w:rPr>
        <w:t>μ</w:t>
      </w:r>
      <w:r>
        <w:t>(e</w:t>
      </w:r>
      <w:r>
        <w:rPr>
          <w:vertAlign w:val="superscript"/>
        </w:rPr>
        <w:t>iα</w:t>
      </w:r>
      <w:r>
        <w:t>ψ) = ψ̄iγ</w:t>
      </w:r>
      <w:r>
        <w:rPr>
          <w:vertAlign w:val="superscript"/>
        </w:rPr>
        <w:t>μ</w:t>
      </w:r>
      <w:r>
        <w:t>∂</w:t>
      </w:r>
      <w:r>
        <w:rPr>
          <w:vertAlign w:val="subscript"/>
        </w:rPr>
        <w:t>μ</w:t>
      </w:r>
      <w:r>
        <w:t>ψ − (∂</w:t>
      </w:r>
      <w:r>
        <w:rPr>
          <w:vertAlign w:val="subscript"/>
        </w:rPr>
        <w:t>μα</w:t>
      </w:r>
      <w:r>
        <w:t>)ψ̄γ</w:t>
      </w:r>
      <w:r>
        <w:rPr>
          <w:vertAlign w:val="superscript"/>
        </w:rPr>
        <w:t>μ</w:t>
      </w:r>
      <w:r>
        <w:t>ψ. The change is −(∂</w:t>
      </w:r>
      <w:r>
        <w:rPr>
          <w:vertAlign w:val="subscript"/>
        </w:rPr>
        <w:t>μα</w:t>
      </w:r>
      <w:r>
        <w:t>)J</w:t>
      </w:r>
      <w:r>
        <w:rPr>
          <w:vertAlign w:val="superscript"/>
        </w:rPr>
        <w:t>μ</w:t>
      </w:r>
      <w:r>
        <w:t>.</w:t>
      </w:r>
    </w:p>
    <w:p>
      <w:r>
        <w:rPr>
          <w:b/>
        </w:rPr>
        <w:t>8.</w:t>
      </w:r>
      <w:r>
        <w:t xml:space="preserve"> </w:t>
      </w:r>
      <w:r>
        <w:t>It contains ψ̄ψ with no derivative, and the phases e</w:t>
      </w:r>
      <w:r>
        <w:rPr>
          <w:vertAlign w:val="superscript"/>
        </w:rPr>
        <w:t>−iα</w:t>
      </w:r>
      <w:r>
        <w:t xml:space="preserve"> and e</w:t>
      </w:r>
      <w:r>
        <w:rPr>
          <w:vertAlign w:val="superscript"/>
        </w:rPr>
        <w:t>iα</w:t>
      </w:r>
      <w:r>
        <w:t xml:space="preserve">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w:t>
      </w:r>
      <w:r>
        <w:rPr>
          <w:vertAlign w:val="subscript"/>
        </w:rPr>
        <w:t>μ</w:t>
      </w:r>
      <w:r>
        <w:t>γ</w:t>
      </w:r>
      <w:r>
        <w:rPr>
          <w:vertAlign w:val="superscript"/>
        </w:rPr>
        <w:t>μ</w:t>
      </w:r>
      <w:r>
        <w:t>, and Γ</w:t>
      </w:r>
      <w:r>
        <w:rPr>
          <w:vertAlign w:val="superscript"/>
        </w:rPr>
        <w:t>μ</w:t>
      </w:r>
      <w:r>
        <w:t xml:space="preserve"> = γ</w:t>
      </w:r>
      <w:r>
        <w:rPr>
          <w:vertAlign w:val="superscript"/>
        </w:rPr>
        <w:t>μ</w:t>
      </w:r>
      <w:r>
        <w:t xml:space="preserve">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w:t>
      </w:r>
      <w:r>
        <w:rPr>
          <w:vertAlign w:val="superscript"/>
        </w:rPr>
        <w:t>iβγ⁵</w:t>
      </w:r>
      <w:r>
        <w:t xml:space="preserve"> on both, the two Jacobians are equal and their product is e</w:t>
      </w:r>
      <w:r>
        <w:rPr>
          <w:vertAlign w:val="superscript"/>
        </w:rPr>
        <w:t>−2iβ Tr γ⁵</w:t>
      </w:r>
      <w:r>
        <w:t>. Tr γ⁵ = 0 is formally zero over spinors, but over infinitely many modes the product 0 × ∞ needs regularization. The gauge-invariant regulator leaves the εFF term.</w:t>
      </w:r>
    </w:p>
    <w:p>
      <w:r>
        <w:rPr>
          <w:b/>
        </w:rPr>
        <w:t>13.</w:t>
      </w:r>
      <w:r>
        <w:t xml:space="preserve"> </w:t>
      </w:r>
      <w:r>
        <w:t>Γ = 7.78 eV. τ = ℏ/Γ = 6.582×10⁻¹⁶ eV s / 7.78 eV = 8.5×10⁻¹⁷ s.</w:t>
      </w:r>
    </w:p>
    <w:p>
      <w:r>
        <w:rPr>
          <w:b/>
        </w:rPr>
        <w:t>14.</w:t>
      </w:r>
      <w:r>
        <w:t xml:space="preserve"> </w:t>
      </w:r>
      <w:r>
        <w:t>v</w:t>
      </w:r>
      <w:r>
        <w:rPr>
          <w:vertAlign w:val="subscript"/>
        </w:rPr>
        <w:t>y</w:t>
      </w:r>
      <w:r>
        <w:rPr>
          <w:vertAlign w:val="superscript"/>
        </w:rPr>
        <w:t>θ</w:t>
      </w:r>
      <w:r>
        <w:t xml:space="preserve">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w:t>
      </w:r>
      <w:r>
        <w:rPr>
          <w:vertAlign w:val="subscript"/>
        </w:rPr>
        <w:t>gf</w:t>
      </w:r>
      <w:r>
        <w:t xml:space="preserve"> with ℒ</w:t>
      </w:r>
      <w:r>
        <w:rPr>
          <w:vertAlign w:val="subscript"/>
        </w:rPr>
        <w:t>gf</w:t>
      </w:r>
      <w:r>
        <w:t xml:space="preserve"> = −(∂·A)²/2ξ. As ξ → 0 the Gaussian becomes a delta function, ω = 0, so ∂·A = 0 exactly.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84 expands exp(iS</w:t>
      </w:r>
      <w:r>
        <w:rPr>
          <w:vertAlign w:val="subscript"/>
        </w:rPr>
        <w:t>int</w:t>
      </w:r>
      <w:r>
        <w:t>) inside Z, contracts with the free Gaussian, and reads off this course's Feynman rules a second time.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Methods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