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eleven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eleven pages in Mrs Kind's translation, and then went and sat in the stairwell again, which by August was where the department went.</w:t>
      </w:r>
    </w:p>
    <w:p>
      <w:pPr>
        <w:pStyle w:val="BodyText"/>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weaker:there is no fact about which options a state 'has' apart from the arrangement that defines them. THE REGISTER WAS THE ARRANGEMENT.We did not fail to notice her doors had closed. We were the apparatus that determined what counted as a door,and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