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The Calculus of Variations: The Euler–Lagrange Equation</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First Integrals, Constraints, and Variable Endpoints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The Second Variation and Sufficient Conditions</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Hamilton’s Principle and Classical Mechanics</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Classical Applications: Geodesics, Minimal Surfaces, Isoperimetry</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 Theory and Algorithms</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Convexity and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The Principal Kinematic Formula and Its Relatives</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Integral Geometry on Spaces of Higher Rank</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Applications: Stereology, Tomography, and Geometric Probability</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Curvature Measures and the Normal Cycle (Advanced)</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The Algebra of Valuations (Advanced)</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hyperlink w:anchor="ch_28" w:history="1">
        <w:r>
          <w:rPr>
            <w:color w:val="3B5170"/>
            <w:sz w:val="20"/>
            <w:szCs w:val="20"/>
            <w:u w:val="single"/>
          </w:rPr>
          <w:t xml:space="preserve"/>
        </w:r>
      </w:hyperlink>
      <w:r>
        <w:rPr>
          <w:color w:val="3B5170"/>
          <w:sz w:val="20"/>
          <w:szCs w:val="20"/>
        </w:rPr>
        <w:t xml:space="preserve"/>
      </w:r>
      <w:hyperlink w:anchor="ch_29" w:history="1">
        <w:r>
          <w:rPr>
            <w:color w:val="3B5170"/>
            <w:sz w:val="20"/>
            <w:szCs w:val="20"/>
            <w:u w:val="single"/>
          </w:rPr>
          <w:t xml:space="preserve"/>
        </w:r>
      </w:hyperlink>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Unconstrained Nonlinear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Unconstrained Nonlinear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hyperlink w:anchor="ch_30" w:history="1">
        <w:r>
          <w:rPr>
            <w:color w:val="1155CC"/>
            <w:u w:val="single"/>
          </w:rPr>
          <w:t xml:space="preserve"/>
        </w:r>
      </w:hyperlink>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hyperlink w:anchor="sec_33_8" w:history="1">
        <w:r>
          <w:rPr>
            <w:color w:val="1155CC"/>
            <w:u w:val="single"/>
          </w:rPr>
          <w:t xml:space="preserve"/>
        </w:r>
      </w:hyperlink>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studied curves and surfaces sitting inside ℝ³, and Gauss showed that a surface’s curvature can be measured from within the surface itself. Many of the spaces that matter have no surrounding space to sit in: the configuration space of a pendulum, the set of all rotations, spacetime. To do geometry on them we need three tools, and this chapter builds them: tensors, for quantities that must not depend on the choice of coordinates; manifolds, for spaces glued together from coordinate charts; and differential forms, for integrating on such spaces.</w:t>
      </w:r>
    </w:p>
    <w:p>
      <w:pPr>
        <w:keepLines/>
        <w:pBdr>
          <w:left w:val="single" w:sz="18" w:space="8" w:color="2E6F62"/>
        </w:pBdr>
        <w:shd w:val="clear" w:color="auto" w:fill="EEF6F3"/>
        <w:spacing w:after="240" w:line="276" w:lineRule="auto"/>
        <w:ind w:left="432" w:right="432"/>
        <w:jc w:val="both"/>
      </w:pPr>
      <w:r>
        <w:t xml:space="preserve">With them, Gauss’s intrinsic curvature makes sense in any dimension, and Green’s, Stokes’ and Gauss’s theorems become one theorem. At each point the work is finite-dimensional linear algebra; </w:t>
      </w:r>
      <w:hyperlink w:anchor="ch_35" w:history="1">
        <w:r>
          <w:rPr>
            <w:color w:val="0563C1"/>
            <w:u w:val="single"/>
          </w:rPr>
          <w:t xml:space="preserve">Functional Analysis</w:t>
        </w:r>
      </w:hyperlink>
      <w:r>
        <w:t xml:space="preserve"> keeps the linear algebra and drops the finite dimension.</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hyperlink w:anchor="ch_30" w:history="1">
        <w:r>
          <w:rPr>
            <w:color w:val="1155CC"/>
            <w:u w:val="single"/>
          </w:rPr>
          <w:t xml:space="preserve"/>
        </w:r>
      </w:hyperlink>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hyperlink w:anchor="ch_28" w:history="1">
        <w:r>
          <w:rPr>
            <w:color w:val="1155CC"/>
            <w:u w:val="single"/>
          </w:rPr>
          <w:t xml:space="preserve"/>
        </w:r>
      </w:hyperlink>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hyperlink w:anchor="ch_28" w:history="1">
        <w:r>
          <w:rPr>
            <w:color w:val="1155CC"/>
            <w:u w:val="single"/>
          </w:rPr>
          <w:t xml:space="preserve"/>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hyperlink w:anchor="ch_28" w:history="1">
        <w:r>
          <w:rPr>
            <w:color w:val="1155CC"/>
            <w:u w:val="single"/>
          </w:rPr>
          <w:t xml:space="preserve"/>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text for Chapter 32</w:t>
      </w:r>
      <w:hyperlink w:anchor="ch_32" w:history="1">
        <w:r>
          <w:rPr>
            <w:color w:val="1155CC"/>
            <w:u w:val="single"/>
          </w:rPr>
          <w:t xml:space="preserve"/>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