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t>Für gängige Wege über qualifizierte Arbeit sind die folgenden Angaben nur grobe Orientierung. Die Bearbeitung beginnt nicht mit der ersten Planung: Wartezeiten auf Einladungen und Nominierungen kommen hinzu.</w:t>
      </w:r>
    </w:p>
    <w:p ns2:paraId="5A90B8F2" ns2:textId="77777777" w:rsidR="001F7233" w:rsidRDefault="00000000">
      <w:pPr>
        <w:spacing w:after="140"/>
      </w:pPr>
      <w:r>
        <w:t>USA: Eine pauschale Gesamtwartezeit wäre irreführend. Kategorie, Arbeitgeberverfahren, Prioritätsdatum und Visa Bulletin bestimmen den Verlauf; prüfe deshalb die monatlichen Visa Bulletin- und USCIS-Hinweise.</w:t>
      </w:r>
    </w:p>
    <w:p ns2:paraId="5A90B8F2" ns2:textId="77777777" w:rsidR="001F7233" w:rsidRDefault="00000000">
      <w:pPr>
        <w:spacing w:after="140"/>
      </w:pPr>
      <w:r>
        <w:t>Kanada: Von April 2025 bis März 2026 erhielten rund 78 % der Antragstellenden in den Bundesprogrammen Federal Skilled Worker und Canadian Experience Class innerhalb des sechsmonatigen Servicestandards eine Entscheidung; mehr als 54 % erhielten sie innerhalb von vier Monaten. Diese Frist beginnt mit dem vollständigen Antrag und umfasst nicht die Wartezeit auf eine Einladung. Quelle: https://www.canada.ca/en/immigration-refugees-citizenship/corporate/reports-statistics/statistics-open-data/immigration-stats/application-processing-system.html.</w:t>
      </w:r>
    </w:p>
    <w:p ns2:paraId="5A90B8F2" ns2:textId="77777777" w:rsidR="001F7233" w:rsidRDefault="00000000">
      <w:pPr>
        <w:spacing w:after="140"/>
      </w:pPr>
      <w:r>
        <w:t>Australien: Im Juli 2026 lag der Median für die gesamte Kategorie Skilled Permanent bei acht Monaten; der Wert gilt nicht für einzelne Unterklassen. Für Visa 189 und 190 hängen Reihenfolge und Dauer von Prioritätsgruppe und Einzelfall ab. Seit 19. September 2026 gelten neue Prioritätsregeln. Prüfe den aktuellen Visa Processing Times Guide; die Fristen für eine 190-Nominierung setzt der jeweilige Bundesstaat oder das Territorium fest. Quellen: https://immi.homeaffairs.gov.au/Visa-subsite/Pages/Processing-times/Overview.aspx; https://immi.homeaffairs.gov.au/Visa-subsite/Pages/Processing-times/skilled-visa-processing-priorities.aspx.</w:t>
      </w:r>
    </w:p>
    <w:p ns2:paraId="5A90B8F2" ns2:textId="77777777" w:rsidR="001F7233" w:rsidRDefault="00000000">
      <w:pPr>
        <w:spacing w:after="140"/>
      </w:pPr>
      <w:r>
        <w:t>Neuseeland: Immigration New Zealand weist für die Skilled Migrant Category durchschnittlich 9,5 Wochen und für 80 % der zuletzt bearbeiteten Fälle 3,5 Monate aus. Für Straight to Residence sind es durchschnittlich 8 Wochen und 3 Monate für 80 % (Stand 13. Oktober 2026). Die Behörde aktualisiert diese Momentaufnahme wöchentlich; sie ist keine Zusage. Quelle: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dazu berechtigt waren (26 U.S.C. § 3304(a)(14)). </w:t>
      </w:r>
      <w:r>
        <w:lastRenderedPageBreak/>
        <w:t>Alles Weitere, etwa Verfügbarkeit und Arbeitsbereitschaft, regeln die Staaten. Bei H-1B-Inhabern fällt die Beurteilung uneinheitlich aus: Ohne neue Petition dürfen sie nicht arbeiten.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für das Punktesystem infrage kommt und wie viele Punkte du realistisch erreichst. Das nächste Kapitel erklärt die einzelnen Wege. Plane die Vorlaufkosten – Antrag, Gesundheitscheck, Skills Assessment und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