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8"/>
        </w:rPr>
        <w:t>ATLAS SI</w:t>
      </w:r>
    </w:p>
    <w:p>
      <w:pPr>
        <w:spacing w:before="1400"/>
        <w:jc w:val="center"/>
      </w:pPr>
      <w:r>
        <w:rPr>
          <w:b/>
          <w:color w:val="0F172A"/>
          <w:sz w:val="54"/>
        </w:rPr>
        <w:t>Guide d’installation et d’exploitation</w:t>
      </w:r>
    </w:p>
    <w:p>
      <w:pPr>
        <w:jc w:val="center"/>
      </w:pPr>
      <w:r>
        <w:rPr>
          <w:color w:val="475569"/>
          <w:sz w:val="32"/>
        </w:rPr>
        <w:t>Déploiement neuf, sécurité, stockage, sauvegarde et diagnostic</w:t>
      </w:r>
    </w:p>
    <w:p>
      <w:pPr>
        <w:spacing w:before="1100"/>
        <w:jc w:val="center"/>
      </w:pPr>
      <w:r>
        <w:rPr>
          <w:b/>
          <w:color w:val="D4AD42"/>
          <w:sz w:val="36"/>
        </w:rPr>
        <w:t>Version 2.2.0</w:t>
      </w:r>
    </w:p>
    <w:p>
      <w:pPr>
        <w:jc w:val="center"/>
      </w:pPr>
      <w:r>
        <w:rPr>
          <w:i/>
        </w:rPr>
        <w:t>Documentation anonymisée — juillet 2026</w:t>
      </w:r>
    </w:p>
    <w:p>
      <w:pPr>
        <w:spacing w:before="1800"/>
        <w:jc w:val="center"/>
      </w:pPr>
      <w:r>
        <w:rPr>
          <w:sz w:val="22"/>
        </w:rPr>
        <w:t>PostgreSQL • FastAPI • React/TypeScript • Cytoscape.js • Nginx • Docker Compose</w:t>
      </w:r>
    </w:p>
    <w:p>
      <w:r>
        <w:br w:type="page"/>
      </w:r>
    </w:p>
    <w:p>
      <w:pPr>
        <w:pStyle w:val="Heading1"/>
      </w:pPr>
      <w:r>
        <w:t>Sommaire</w:t>
      </w:r>
    </w:p>
    <w:p>
      <w:pPr>
        <w:pStyle w:val="ListNumber"/>
      </w:pPr>
      <w:r>
        <w:t>Architecture et prérequis</w:t>
      </w:r>
    </w:p>
    <w:p>
      <w:pPr>
        <w:pStyle w:val="ListNumber"/>
      </w:pPr>
      <w:r>
        <w:t>Choix du protocole et du port</w:t>
      </w:r>
    </w:p>
    <w:p>
      <w:pPr>
        <w:pStyle w:val="ListNumber"/>
      </w:pPr>
      <w:r>
        <w:t>Installation pas à pas</w:t>
      </w:r>
    </w:p>
    <w:p>
      <w:pPr>
        <w:pStyle w:val="ListNumber"/>
      </w:pPr>
      <w:r>
        <w:t>Authentification locale ou Keycloak</w:t>
      </w:r>
    </w:p>
    <w:p>
      <w:pPr>
        <w:pStyle w:val="ListNumber"/>
      </w:pPr>
      <w:r>
        <w:t>Démarrage et contrôles</w:t>
      </w:r>
    </w:p>
    <w:p>
      <w:pPr>
        <w:pStyle w:val="ListNumber"/>
      </w:pPr>
      <w:r>
        <w:t>Stockage et sauvegardes</w:t>
      </w:r>
    </w:p>
    <w:p>
      <w:pPr>
        <w:pStyle w:val="ListNumber"/>
      </w:pPr>
      <w:r>
        <w:t>Exploitation courante</w:t>
      </w:r>
    </w:p>
    <w:p>
      <w:pPr>
        <w:pStyle w:val="ListNumber"/>
      </w:pPr>
      <w:r>
        <w:t>Sécurité et dépannage</w:t>
      </w:r>
    </w:p>
    <w:p>
      <w:pPr>
        <w:pStyle w:val="Heading1"/>
      </w:pPr>
      <w:r>
        <w:t>1. Architecture et principes</w:t>
      </w:r>
    </w:p>
    <w:p>
      <w:r>
        <w:t>Atlas SI est livré sous forme de trois services conteneurisés : PostgreSQL, une API FastAPI et une passerelle Nginx servant le frontend React. Le réseau de base de données est interne ; seule la passerelle publie un port sur le serveur.</w:t>
      </w:r>
    </w:p>
    <w:p>
      <w:pPr>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627120"/>
                    </a:xfrm>
                    <a:prstGeom prst="rect"/>
                  </pic:spPr>
                </pic:pic>
              </a:graphicData>
            </a:graphic>
          </wp:inline>
        </w:drawing>
      </w:r>
    </w:p>
    <w:p>
      <w:pPr>
        <w:jc w:val="center"/>
      </w:pPr>
      <w:r>
        <w:rPr>
          <w:i/>
          <w:color w:val="475569"/>
          <w:sz w:val="16"/>
        </w:rPr>
        <w:t>Architecture logique de la solution.</w:t>
      </w:r>
    </w:p>
    <w:p>
      <w:pPr>
        <w:pStyle w:val="Heading2"/>
      </w:pPr>
      <w:r>
        <w:t>Prérequis techniques</w:t>
      </w:r>
    </w:p>
    <w:p>
      <w:pPr>
        <w:pStyle w:val="ListBullet"/>
      </w:pPr>
      <w:r>
        <w:t>Linux 64 bits avec Docker Engine et Docker Compose v2.</w:t>
      </w:r>
    </w:p>
    <w:p>
      <w:pPr>
        <w:pStyle w:val="ListBullet"/>
      </w:pPr>
      <w:r>
        <w:t>2 vCPU, 4 Go de mémoire et 20 Go de disque au minimum pour un laboratoire.</w:t>
      </w:r>
    </w:p>
    <w:p>
      <w:pPr>
        <w:pStyle w:val="ListBullet"/>
      </w:pPr>
      <w:r>
        <w:t>Accès aux registres de conteneurs et à registry.npmjs.org pendant la construction.</w:t>
      </w:r>
    </w:p>
    <w:p>
      <w:pPr>
        <w:pStyle w:val="ListBullet"/>
      </w:pPr>
      <w:r>
        <w:t>Nom DNS et certificat PEM en production HTTPS.</w:t>
      </w:r>
    </w:p>
    <w:p>
      <w:pPr>
        <w:pStyle w:val="ListBullet"/>
      </w:pPr>
      <w:r>
        <w:t>Espace externe pour sauvegarder les dumps PostgreSQL.</w:t>
      </w:r>
    </w:p>
    <w:p>
      <w:pPr>
        <w:pStyle w:val="Heading1"/>
      </w:pPr>
      <w:r>
        <w:t>2. Publication HTTP, HTTPS et ports personnalisés</w:t>
      </w:r>
    </w:p>
    <w:p>
      <w:r>
        <w:t>La version 2.2.0 permet de choisir le protocole et le port uniquement dans le fichier .env. La passerelle écoute le même port dans le conteneur et sur l’hôte.</w:t>
      </w:r>
    </w:p>
    <w:p>
      <w:pPr>
        <w:jc w:val="center"/>
      </w:pPr>
      <w:r>
        <w:drawing>
          <wp:inline xmlns:a="http://schemas.openxmlformats.org/drawingml/2006/main" xmlns:pic="http://schemas.openxmlformats.org/drawingml/2006/picture">
            <wp:extent cx="6217920" cy="3281680"/>
            <wp:docPr id="2" name="Picture 2"/>
            <wp:cNvGraphicFramePr>
              <a:graphicFrameLocks noChangeAspect="1"/>
            </wp:cNvGraphicFramePr>
            <a:graphic>
              <a:graphicData uri="http://schemas.openxmlformats.org/drawingml/2006/picture">
                <pic:pic>
                  <pic:nvPicPr>
                    <pic:cNvPr id="0" name="modes-publication.png"/>
                    <pic:cNvPicPr/>
                  </pic:nvPicPr>
                  <pic:blipFill>
                    <a:blip r:embed="rId12"/>
                    <a:stretch>
                      <a:fillRect/>
                    </a:stretch>
                  </pic:blipFill>
                  <pic:spPr>
                    <a:xfrm>
                      <a:off x="0" y="0"/>
                      <a:ext cx="6217920" cy="3281680"/>
                    </a:xfrm>
                    <a:prstGeom prst="rect"/>
                  </pic:spPr>
                </pic:pic>
              </a:graphicData>
            </a:graphic>
          </wp:inline>
        </w:drawing>
      </w:r>
    </w:p>
    <w:p>
      <w:pPr>
        <w:jc w:val="center"/>
      </w:pPr>
      <w:r>
        <w:rPr>
          <w:i/>
          <w:color w:val="475569"/>
          <w:sz w:val="16"/>
        </w:rPr>
        <w:t>Trois exemples de publication pris en charge.</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E3A8A"/>
          </w:tcPr>
          <w:p>
            <w:r/>
            <w:r>
              <w:rPr>
                <w:b/>
                <w:color w:val="FFFFFF"/>
                <w:sz w:val="18"/>
              </w:rPr>
              <w:t>Variable</w:t>
            </w:r>
          </w:p>
        </w:tc>
        <w:tc>
          <w:tcPr>
            <w:tcW w:type="dxa" w:w="3437"/>
            <w:vAlign w:val="center"/>
            <w:shd w:fill="1E3A8A"/>
          </w:tcPr>
          <w:p>
            <w:r/>
            <w:r>
              <w:rPr>
                <w:b/>
                <w:color w:val="FFFFFF"/>
                <w:sz w:val="18"/>
              </w:rPr>
              <w:t>Rôle</w:t>
            </w:r>
          </w:p>
        </w:tc>
        <w:tc>
          <w:tcPr>
            <w:tcW w:type="dxa" w:w="3437"/>
            <w:vAlign w:val="center"/>
            <w:shd w:fill="1E3A8A"/>
          </w:tcPr>
          <w:p>
            <w:r/>
            <w:r>
              <w:rPr>
                <w:b/>
                <w:color w:val="FFFFFF"/>
                <w:sz w:val="18"/>
              </w:rPr>
              <w:t>Règle</w:t>
            </w:r>
          </w:p>
        </w:tc>
      </w:tr>
      <w:tr>
        <w:tc>
          <w:tcPr>
            <w:tcW w:type="dxa" w:w="3437"/>
            <w:vAlign w:val="center"/>
          </w:tcPr>
          <w:p>
            <w:r/>
            <w:r>
              <w:rPr>
                <w:b w:val="0"/>
                <w:sz w:val="17"/>
              </w:rPr>
              <w:t>GATEWAY_SCHEME</w:t>
            </w:r>
          </w:p>
        </w:tc>
        <w:tc>
          <w:tcPr>
            <w:tcW w:type="dxa" w:w="3437"/>
            <w:vAlign w:val="center"/>
          </w:tcPr>
          <w:p>
            <w:r/>
            <w:r>
              <w:rPr>
                <w:b w:val="0"/>
                <w:sz w:val="17"/>
              </w:rPr>
              <w:t>http ou https</w:t>
            </w:r>
          </w:p>
        </w:tc>
        <w:tc>
          <w:tcPr>
            <w:tcW w:type="dxa" w:w="3437"/>
            <w:vAlign w:val="center"/>
          </w:tcPr>
          <w:p>
            <w:r/>
            <w:r>
              <w:rPr>
                <w:b w:val="0"/>
                <w:sz w:val="17"/>
              </w:rPr>
              <w:t>Doit correspondre à PUBLIC_BASE_URL.</w:t>
            </w:r>
          </w:p>
        </w:tc>
      </w:tr>
      <w:tr>
        <w:tc>
          <w:tcPr>
            <w:tcW w:type="dxa" w:w="3437"/>
            <w:vAlign w:val="center"/>
          </w:tcPr>
          <w:p>
            <w:r/>
            <w:r>
              <w:rPr>
                <w:b w:val="0"/>
                <w:sz w:val="17"/>
              </w:rPr>
              <w:t>GATEWAY_PORT</w:t>
            </w:r>
          </w:p>
        </w:tc>
        <w:tc>
          <w:tcPr>
            <w:tcW w:type="dxa" w:w="3437"/>
            <w:vAlign w:val="center"/>
          </w:tcPr>
          <w:p>
            <w:r/>
            <w:r>
              <w:rPr>
                <w:b w:val="0"/>
                <w:sz w:val="17"/>
              </w:rPr>
              <w:t>Port publié</w:t>
            </w:r>
          </w:p>
        </w:tc>
        <w:tc>
          <w:tcPr>
            <w:tcW w:type="dxa" w:w="3437"/>
            <w:vAlign w:val="center"/>
          </w:tcPr>
          <w:p>
            <w:r/>
            <w:r>
              <w:rPr>
                <w:b w:val="0"/>
                <w:sz w:val="17"/>
              </w:rPr>
              <w:t>1 à 65535 ; présent dans l’URL s’il n’est pas standard.</w:t>
            </w:r>
          </w:p>
        </w:tc>
      </w:tr>
      <w:tr>
        <w:tc>
          <w:tcPr>
            <w:tcW w:type="dxa" w:w="3437"/>
            <w:vAlign w:val="center"/>
          </w:tcPr>
          <w:p>
            <w:r/>
            <w:r>
              <w:rPr>
                <w:b w:val="0"/>
                <w:sz w:val="17"/>
              </w:rPr>
              <w:t>PUBLIC_BASE_URL</w:t>
            </w:r>
          </w:p>
        </w:tc>
        <w:tc>
          <w:tcPr>
            <w:tcW w:type="dxa" w:w="3437"/>
            <w:vAlign w:val="center"/>
          </w:tcPr>
          <w:p>
            <w:r/>
            <w:r>
              <w:rPr>
                <w:b w:val="0"/>
                <w:sz w:val="17"/>
              </w:rPr>
              <w:t>URL vue par les utilisateurs</w:t>
            </w:r>
          </w:p>
        </w:tc>
        <w:tc>
          <w:tcPr>
            <w:tcW w:type="dxa" w:w="3437"/>
            <w:vAlign w:val="center"/>
          </w:tcPr>
          <w:p>
            <w:r/>
            <w:r>
              <w:rPr>
                <w:b w:val="0"/>
                <w:sz w:val="17"/>
              </w:rPr>
              <w:t>Racine du site, sans chemin.</w:t>
            </w:r>
          </w:p>
        </w:tc>
      </w:tr>
      <w:tr>
        <w:tc>
          <w:tcPr>
            <w:tcW w:type="dxa" w:w="3437"/>
            <w:vAlign w:val="center"/>
          </w:tcPr>
          <w:p>
            <w:r/>
            <w:r>
              <w:rPr>
                <w:b w:val="0"/>
                <w:sz w:val="17"/>
              </w:rPr>
              <w:t>COOKIE_SECURE</w:t>
            </w:r>
          </w:p>
        </w:tc>
        <w:tc>
          <w:tcPr>
            <w:tcW w:type="dxa" w:w="3437"/>
            <w:vAlign w:val="center"/>
          </w:tcPr>
          <w:p>
            <w:r/>
            <w:r>
              <w:rPr>
                <w:b w:val="0"/>
                <w:sz w:val="17"/>
              </w:rPr>
              <w:t>Protection du cookie</w:t>
            </w:r>
          </w:p>
        </w:tc>
        <w:tc>
          <w:tcPr>
            <w:tcW w:type="dxa" w:w="3437"/>
            <w:vAlign w:val="center"/>
          </w:tcPr>
          <w:p>
            <w:r/>
            <w:r>
              <w:rPr>
                <w:b w:val="0"/>
                <w:sz w:val="17"/>
              </w:rPr>
              <w:t>true en HTTPS ; false en HTTP.</w:t>
            </w:r>
          </w:p>
        </w:tc>
      </w:tr>
      <w:tr>
        <w:tc>
          <w:tcPr>
            <w:tcW w:type="dxa" w:w="3437"/>
            <w:vAlign w:val="center"/>
          </w:tcPr>
          <w:p>
            <w:r/>
            <w:r>
              <w:rPr>
                <w:b w:val="0"/>
                <w:sz w:val="17"/>
              </w:rPr>
              <w:t>TLS_CERTIFICATE_FILE / TLS_PRIVATE_KEY_FILE</w:t>
            </w:r>
          </w:p>
        </w:tc>
        <w:tc>
          <w:tcPr>
            <w:tcW w:type="dxa" w:w="3437"/>
            <w:vAlign w:val="center"/>
          </w:tcPr>
          <w:p>
            <w:r/>
            <w:r>
              <w:rPr>
                <w:b w:val="0"/>
                <w:sz w:val="17"/>
              </w:rPr>
              <w:t>Fichiers PEM</w:t>
            </w:r>
          </w:p>
        </w:tc>
        <w:tc>
          <w:tcPr>
            <w:tcW w:type="dxa" w:w="3437"/>
            <w:vAlign w:val="center"/>
          </w:tcPr>
          <w:p>
            <w:r/>
            <w:r>
              <w:rPr>
                <w:b w:val="0"/>
                <w:sz w:val="17"/>
              </w:rPr>
              <w:t>Obligatoires uniquement en HTTPS.</w:t>
            </w:r>
          </w:p>
        </w:tc>
      </w:tr>
    </w:tbl>
    <w:tbl>
      <w:tblPr>
        <w:tblW w:type="auto" w:w="0"/>
        <w:jc w:val="center"/>
        <w:tblLook w:firstColumn="1" w:firstRow="1" w:lastColumn="0" w:lastRow="0" w:noHBand="0" w:noVBand="1" w:val="04A0"/>
      </w:tblPr>
      <w:tblGrid>
        <w:gridCol w:w="10312"/>
      </w:tblGrid>
      <w:tr>
        <w:tc>
          <w:tcPr>
            <w:tcW w:type="dxa" w:w="10312"/>
            <w:shd w:fill="FFF7D6"/>
          </w:tcPr>
          <w:p>
            <w:r>
              <w:rPr>
                <w:b/>
                <w:color w:val="1E3A8A"/>
              </w:rPr>
              <w:t xml:space="preserve">À retenir — </w:t>
            </w:r>
            <w:r>
              <w:t>Le mode HTTP ne chiffre ni les identifiants ni les données. Il est réservé à un laboratoire isolé ou à un frontal TLS externe de confiance.</w:t>
            </w:r>
          </w:p>
        </w:tc>
      </w:tr>
    </w:tbl>
    <w:p>
      <w:pPr>
        <w:pStyle w:val="Heading1"/>
      </w:pPr>
      <w:r>
        <w:t>3. Installation pas à pas</w:t>
      </w:r>
    </w:p>
    <w:p>
      <w:pPr>
        <w:pStyle w:val="Heading2"/>
      </w:pPr>
      <w:r>
        <w:t>3.1 Extraire l’archive</w:t>
      </w:r>
    </w:p>
    <w:p>
      <w:pPr>
        <w:pStyle w:val="Code"/>
        <w:shd w:fill="F1F5F9"/>
      </w:pPr>
      <w:r>
        <w:t>sudo mkdir -p /opt/atlas-si</w:t>
        <w:br/>
        <w:t>sudo tar -xzf atlas-si-v2.2.0-installation-neuve.tar.gz \</w:t>
        <w:br/>
        <w:t xml:space="preserve">  -C /opt/atlas-si --strip-components=1</w:t>
        <w:br/>
        <w:t>cd /opt/atlas-si</w:t>
        <w:br/>
        <w:t>sudo chown -R root:root /opt/atlas-si</w:t>
      </w:r>
    </w:p>
    <w:p>
      <w:pPr>
        <w:pStyle w:val="Heading2"/>
      </w:pPr>
      <w:r>
        <w:t>3.2 Lancer l’assistant</w:t>
      </w:r>
    </w:p>
    <w:p>
      <w:pPr>
        <w:pStyle w:val="Code"/>
        <w:shd w:fill="F1F5F9"/>
      </w:pPr>
      <w:r>
        <w:t>sudo ./scripts/prepare-install.sh local</w:t>
        <w:br/>
        <w:t># ou</w:t>
        <w:br/>
        <w:t>sudo ./scripts/prepare-install.sh keycloak</w:t>
      </w:r>
    </w:p>
    <w:p>
      <w:pPr>
        <w:jc w:val="center"/>
      </w:pPr>
      <w:r>
        <w:drawing>
          <wp:inline xmlns:a="http://schemas.openxmlformats.org/drawingml/2006/main" xmlns:pic="http://schemas.openxmlformats.org/drawingml/2006/picture">
            <wp:extent cx="6217920" cy="1931700"/>
            <wp:docPr id="3" name="Picture 3"/>
            <wp:cNvGraphicFramePr>
              <a:graphicFrameLocks noChangeAspect="1"/>
            </wp:cNvGraphicFramePr>
            <a:graphic>
              <a:graphicData uri="http://schemas.openxmlformats.org/drawingml/2006/picture">
                <pic:pic>
                  <pic:nvPicPr>
                    <pic:cNvPr id="0" name="terminal-installation.png"/>
                    <pic:cNvPicPr/>
                  </pic:nvPicPr>
                  <pic:blipFill>
                    <a:blip r:embed="rId13"/>
                    <a:stretch>
                      <a:fillRect/>
                    </a:stretch>
                  </pic:blipFill>
                  <pic:spPr>
                    <a:xfrm>
                      <a:off x="0" y="0"/>
                      <a:ext cx="6217920" cy="1931700"/>
                    </a:xfrm>
                    <a:prstGeom prst="rect"/>
                  </pic:spPr>
                </pic:pic>
              </a:graphicData>
            </a:graphic>
          </wp:inline>
        </w:drawing>
      </w:r>
    </w:p>
    <w:p>
      <w:pPr>
        <w:jc w:val="center"/>
      </w:pPr>
      <w:r>
        <w:rPr>
          <w:i/>
          <w:color w:val="475569"/>
          <w:sz w:val="16"/>
        </w:rPr>
        <w:t>Exemple d’installation en laboratoire HTTP sur le port 8080.</w:t>
      </w:r>
    </w:p>
    <w:p>
      <w:pPr>
        <w:pStyle w:val="Heading2"/>
      </w:pPr>
      <w:r>
        <w:t>3.3 Exemples de configuration</w:t>
      </w:r>
    </w:p>
    <w:p>
      <w:pPr>
        <w:pStyle w:val="Code"/>
        <w:shd w:fill="F1F5F9"/>
      </w:pPr>
      <w:r>
        <w:t># Production HTTPS</w:t>
        <w:br/>
        <w:t>GATEWAY_SCHEME=https</w:t>
        <w:br/>
        <w:t>GATEWAY_PORT=443</w:t>
        <w:br/>
        <w:t>PUBLIC_BASE_URL=https://carto.example.org</w:t>
        <w:br/>
        <w:t>PUBLIC_HOST=carto.example.org</w:t>
        <w:br/>
        <w:t>COOKIE_SECURE=true</w:t>
      </w:r>
    </w:p>
    <w:p>
      <w:pPr>
        <w:pStyle w:val="Code"/>
        <w:shd w:fill="F1F5F9"/>
      </w:pPr>
      <w:r>
        <w:t># Laboratoire sans certificat</w:t>
        <w:br/>
        <w:t>GATEWAY_SCHEME=http</w:t>
        <w:br/>
        <w:t>GATEWAY_PORT=8080</w:t>
        <w:br/>
        <w:t>PUBLIC_BASE_URL=http://lab.example.org:8080</w:t>
        <w:br/>
        <w:t>PUBLIC_HOST=lab.example.org</w:t>
        <w:br/>
        <w:t>TRUSTED_HOSTS=lab.example.org</w:t>
        <w:br/>
        <w:t>COOKIE_SECURE=false</w:t>
        <w:br/>
        <w:t>TLS_CERTIFICATE_FILE=</w:t>
        <w:br/>
        <w:t>TLS_PRIVATE_KEY_FILE=</w:t>
      </w:r>
    </w:p>
    <w:p>
      <w:pPr>
        <w:pStyle w:val="Heading2"/>
      </w:pPr>
      <w:r>
        <w:t>3.4 Certificat HTTPS</w:t>
      </w:r>
    </w:p>
    <w:p>
      <w:r>
        <w:t>Déposer le certificat complet et la clé privée dans /opt/atlas-si/certs. La clé ne doit pas être protégée par une phrase secrète, car Nginx doit démarrer sans interaction.</w:t>
      </w:r>
    </w:p>
    <w:p>
      <w:pPr>
        <w:pStyle w:val="Code"/>
        <w:shd w:fill="F1F5F9"/>
      </w:pPr>
      <w:r>
        <w:t>sudo chown root:root certs/atlas-si.fullchain.pem certs/atlas-si.key</w:t>
        <w:br/>
        <w:t>sudo chmod 644 certs/atlas-si.fullchain.pem</w:t>
        <w:br/>
        <w:t>sudo chmod 600 certs/atlas-si.key</w:t>
      </w:r>
    </w:p>
    <w:p>
      <w:pPr>
        <w:pStyle w:val="Heading1"/>
      </w:pPr>
      <w:r>
        <w:t>4. Authentification</w:t>
      </w:r>
    </w:p>
    <w:p>
      <w:pPr>
        <w:pStyle w:val="Heading2"/>
      </w:pPr>
      <w:r>
        <w:t>Mode local</w:t>
      </w:r>
    </w:p>
    <w:p>
      <w:r>
        <w:t>Le compte administrateur initial est créé au premier démarrage. Le mot de passe doit comporter au moins 12 caractères. LOCAL_ADMIN_RESET_PASSWORD permet une réinitialisation contrôlée : le passer temporairement à true, redémarrer l’API, puis le remettre à false.</w:t>
      </w:r>
    </w:p>
    <w:p>
      <w:pPr>
        <w:pStyle w:val="Heading2"/>
      </w:pPr>
      <w:r>
        <w:t>Mode Keycloak / OpenID Connect</w:t>
      </w:r>
    </w:p>
    <w:p>
      <w:r>
        <w:t>Créer un client confidentiel. L’URL de redirection est PUBLIC_BASE_URL suivie de /api/auth/callback. Les groupes ou rôles Keycloak sont mappés vers les rôles administrateur, contributeur, auditeur et lecteur.</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E3A8A"/>
          </w:tcPr>
          <w:p>
            <w:r/>
            <w:r>
              <w:rPr>
                <w:b/>
                <w:color w:val="FFFFFF"/>
                <w:sz w:val="18"/>
              </w:rPr>
              <w:t>Rôle</w:t>
            </w:r>
          </w:p>
        </w:tc>
        <w:tc>
          <w:tcPr>
            <w:tcW w:type="dxa" w:w="5156"/>
            <w:vAlign w:val="center"/>
            <w:shd w:fill="1E3A8A"/>
          </w:tcPr>
          <w:p>
            <w:r/>
            <w:r>
              <w:rPr>
                <w:b/>
                <w:color w:val="FFFFFF"/>
                <w:sz w:val="18"/>
              </w:rPr>
              <w:t>Capacités principales</w:t>
            </w:r>
          </w:p>
        </w:tc>
      </w:tr>
      <w:tr>
        <w:tc>
          <w:tcPr>
            <w:tcW w:type="dxa" w:w="5156"/>
            <w:vAlign w:val="center"/>
          </w:tcPr>
          <w:p>
            <w:r/>
            <w:r>
              <w:rPr>
                <w:b w:val="0"/>
                <w:sz w:val="17"/>
              </w:rPr>
              <w:t>Administrateur</w:t>
            </w:r>
          </w:p>
        </w:tc>
        <w:tc>
          <w:tcPr>
            <w:tcW w:type="dxa" w:w="5156"/>
            <w:vAlign w:val="center"/>
          </w:tcPr>
          <w:p>
            <w:r/>
            <w:r>
              <w:rPr>
                <w:b w:val="0"/>
                <w:sz w:val="17"/>
              </w:rPr>
              <w:t>Configuration, types, design, modèles ANSSI et toutes les opérations.</w:t>
            </w:r>
          </w:p>
        </w:tc>
      </w:tr>
      <w:tr>
        <w:tc>
          <w:tcPr>
            <w:tcW w:type="dxa" w:w="5156"/>
            <w:vAlign w:val="center"/>
          </w:tcPr>
          <w:p>
            <w:r/>
            <w:r>
              <w:rPr>
                <w:b w:val="0"/>
                <w:sz w:val="17"/>
              </w:rPr>
              <w:t>Contributeur</w:t>
            </w:r>
          </w:p>
        </w:tc>
        <w:tc>
          <w:tcPr>
            <w:tcW w:type="dxa" w:w="5156"/>
            <w:vAlign w:val="center"/>
          </w:tcPr>
          <w:p>
            <w:r/>
            <w:r>
              <w:rPr>
                <w:b w:val="0"/>
                <w:sz w:val="17"/>
              </w:rPr>
              <w:t>Création et modification des objets, relations, imports et cartes autorisées.</w:t>
            </w:r>
          </w:p>
        </w:tc>
      </w:tr>
      <w:tr>
        <w:tc>
          <w:tcPr>
            <w:tcW w:type="dxa" w:w="5156"/>
            <w:vAlign w:val="center"/>
          </w:tcPr>
          <w:p>
            <w:r/>
            <w:r>
              <w:rPr>
                <w:b w:val="0"/>
                <w:sz w:val="17"/>
              </w:rPr>
              <w:t>Auditeur</w:t>
            </w:r>
          </w:p>
        </w:tc>
        <w:tc>
          <w:tcPr>
            <w:tcW w:type="dxa" w:w="5156"/>
            <w:vAlign w:val="center"/>
          </w:tcPr>
          <w:p>
            <w:r/>
            <w:r>
              <w:rPr>
                <w:b w:val="0"/>
                <w:sz w:val="17"/>
              </w:rPr>
              <w:t>Consultation, qualité, historique et exports.</w:t>
            </w:r>
          </w:p>
        </w:tc>
      </w:tr>
      <w:tr>
        <w:tc>
          <w:tcPr>
            <w:tcW w:type="dxa" w:w="5156"/>
            <w:vAlign w:val="center"/>
          </w:tcPr>
          <w:p>
            <w:r/>
            <w:r>
              <w:rPr>
                <w:b w:val="0"/>
                <w:sz w:val="17"/>
              </w:rPr>
              <w:t>Lecteur</w:t>
            </w:r>
          </w:p>
        </w:tc>
        <w:tc>
          <w:tcPr>
            <w:tcW w:type="dxa" w:w="5156"/>
            <w:vAlign w:val="center"/>
          </w:tcPr>
          <w:p>
            <w:r/>
            <w:r>
              <w:rPr>
                <w:b w:val="0"/>
                <w:sz w:val="17"/>
              </w:rPr>
              <w:t>Consultation des données et cartes accessibles.</w:t>
            </w:r>
          </w:p>
        </w:tc>
      </w:tr>
    </w:tbl>
    <w:p>
      <w:pPr>
        <w:pStyle w:val="Heading1"/>
      </w:pPr>
      <w:r>
        <w:t>5. Contrôle, construction et démarrage</w:t>
      </w:r>
    </w:p>
    <w:p>
      <w:pPr>
        <w:pStyle w:val="Code"/>
        <w:shd w:fill="F1F5F9"/>
      </w:pPr>
      <w:r>
        <w:t>cd /opt/atlas-si</w:t>
        <w:br/>
        <w:t>sudo ./scripts/check-config.sh</w:t>
        <w:br/>
        <w:t>sudo docker compose build --pull</w:t>
        <w:br/>
        <w:t>sudo docker compose up -d</w:t>
        <w:br/>
        <w:t>sudo docker compose ps</w:t>
        <w:br/>
        <w:t>sudo ./scripts/diagnose.sh</w:t>
      </w:r>
    </w:p>
    <w:p>
      <w:r>
        <w:t>Le contrôle bloque les incohérences de protocole, de port, de cookie, de certificat, les secrets non remplacés, les versions d’images invalides et les adresses npm internes.</w:t>
      </w:r>
    </w:p>
    <w:p>
      <w:pPr>
        <w:pStyle w:val="Heading2"/>
      </w:pPr>
      <w:r>
        <w:t>Résultats attendus</w:t>
      </w:r>
    </w:p>
    <w:p>
      <w:pPr>
        <w:pStyle w:val="ListBullet"/>
      </w:pPr>
      <w:r>
        <w:t>Services postgres, api et gateway démarrés.</w:t>
      </w:r>
    </w:p>
    <w:p>
      <w:pPr>
        <w:pStyle w:val="ListBullet"/>
      </w:pPr>
      <w:r>
        <w:t>Endpoint /api/health/live accessible par l’URL publique.</w:t>
      </w:r>
    </w:p>
    <w:p>
      <w:pPr>
        <w:pStyle w:val="ListBullet"/>
      </w:pPr>
      <w:r>
        <w:t>Migration 0008_v2_modules_maps_governance au niveau head.</w:t>
      </w:r>
    </w:p>
    <w:p>
      <w:pPr>
        <w:pStyle w:val="ListBullet"/>
      </w:pPr>
      <w:r>
        <w:t>47 tests API réussis avec scripts/run-tests.sh.</w:t>
      </w:r>
    </w:p>
    <w:p>
      <w:pPr>
        <w:pStyle w:val="Heading1"/>
      </w:pPr>
      <w:r>
        <w:t>6. Stockage et persistance</w:t>
      </w:r>
    </w:p>
    <w:p>
      <w:pPr>
        <w:jc w:val="center"/>
      </w:pPr>
      <w:r>
        <w:drawing>
          <wp:inline xmlns:a="http://schemas.openxmlformats.org/drawingml/2006/main" xmlns:pic="http://schemas.openxmlformats.org/drawingml/2006/picture">
            <wp:extent cx="6217920" cy="3627120"/>
            <wp:docPr id="4" name="Picture 4"/>
            <wp:cNvGraphicFramePr>
              <a:graphicFrameLocks noChangeAspect="1"/>
            </wp:cNvGraphicFramePr>
            <a:graphic>
              <a:graphicData uri="http://schemas.openxmlformats.org/drawingml/2006/picture">
                <pic:pic>
                  <pic:nvPicPr>
                    <pic:cNvPr id="0" name="stockage.png"/>
                    <pic:cNvPicPr/>
                  </pic:nvPicPr>
                  <pic:blipFill>
                    <a:blip r:embed="rId14"/>
                    <a:stretch>
                      <a:fillRect/>
                    </a:stretch>
                  </pic:blipFill>
                  <pic:spPr>
                    <a:xfrm>
                      <a:off x="0" y="0"/>
                      <a:ext cx="6217920" cy="3627120"/>
                    </a:xfrm>
                    <a:prstGeom prst="rect"/>
                  </pic:spPr>
                </pic:pic>
              </a:graphicData>
            </a:graphic>
          </wp:inline>
        </w:drawing>
      </w:r>
    </w:p>
    <w:p>
      <w:pPr>
        <w:jc w:val="center"/>
      </w:pPr>
      <w:r>
        <w:rPr>
          <w:i/>
          <w:color w:val="475569"/>
          <w:sz w:val="16"/>
        </w:rPr>
        <w:t>Emplacements à connaître pour l’exploitation et les sauvegardes.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E3A8A"/>
          </w:tcPr>
          <w:p>
            <w:r/>
            <w:r>
              <w:rPr>
                <w:b/>
                <w:color w:val="FFFFFF"/>
                <w:sz w:val="18"/>
              </w:rPr>
              <w:t>Emplacement</w:t>
            </w:r>
          </w:p>
        </w:tc>
        <w:tc>
          <w:tcPr>
            <w:tcW w:type="dxa" w:w="3437"/>
            <w:vAlign w:val="center"/>
            <w:shd w:fill="1E3A8A"/>
          </w:tcPr>
          <w:p>
            <w:r/>
            <w:r>
              <w:rPr>
                <w:b/>
                <w:color w:val="FFFFFF"/>
                <w:sz w:val="18"/>
              </w:rPr>
              <w:t>Contenu</w:t>
            </w:r>
          </w:p>
        </w:tc>
        <w:tc>
          <w:tcPr>
            <w:tcW w:type="dxa" w:w="3437"/>
            <w:vAlign w:val="center"/>
            <w:shd w:fill="1E3A8A"/>
          </w:tcPr>
          <w:p>
            <w:r/>
            <w:r>
              <w:rPr>
                <w:b/>
                <w:color w:val="FFFFFF"/>
                <w:sz w:val="18"/>
              </w:rPr>
              <w:t>Traitement</w:t>
            </w:r>
          </w:p>
        </w:tc>
      </w:tr>
      <w:tr>
        <w:tc>
          <w:tcPr>
            <w:tcW w:type="dxa" w:w="3437"/>
            <w:vAlign w:val="center"/>
          </w:tcPr>
          <w:p>
            <w:r/>
            <w:r>
              <w:rPr>
                <w:b w:val="0"/>
                <w:sz w:val="17"/>
              </w:rPr>
              <w:t>/opt/atlas-si/.env</w:t>
            </w:r>
          </w:p>
        </w:tc>
        <w:tc>
          <w:tcPr>
            <w:tcW w:type="dxa" w:w="3437"/>
            <w:vAlign w:val="center"/>
          </w:tcPr>
          <w:p>
            <w:r/>
            <w:r>
              <w:rPr>
                <w:b w:val="0"/>
                <w:sz w:val="17"/>
              </w:rPr>
              <w:t>Secrets, URL, port, authentification</w:t>
            </w:r>
          </w:p>
        </w:tc>
        <w:tc>
          <w:tcPr>
            <w:tcW w:type="dxa" w:w="3437"/>
            <w:vAlign w:val="center"/>
          </w:tcPr>
          <w:p>
            <w:r/>
            <w:r>
              <w:rPr>
                <w:b w:val="0"/>
                <w:sz w:val="17"/>
              </w:rPr>
              <w:t>Sauvegarde chiffrée ; permissions 600.</w:t>
            </w:r>
          </w:p>
        </w:tc>
      </w:tr>
      <w:tr>
        <w:tc>
          <w:tcPr>
            <w:tcW w:type="dxa" w:w="3437"/>
            <w:vAlign w:val="center"/>
          </w:tcPr>
          <w:p>
            <w:r/>
            <w:r>
              <w:rPr>
                <w:b w:val="0"/>
                <w:sz w:val="17"/>
              </w:rPr>
              <w:t>/opt/atlas-si/certs/</w:t>
            </w:r>
          </w:p>
        </w:tc>
        <w:tc>
          <w:tcPr>
            <w:tcW w:type="dxa" w:w="3437"/>
            <w:vAlign w:val="center"/>
          </w:tcPr>
          <w:p>
            <w:r/>
            <w:r>
              <w:rPr>
                <w:b w:val="0"/>
                <w:sz w:val="17"/>
              </w:rPr>
              <w:t>Certificat et clé privée</w:t>
            </w:r>
          </w:p>
        </w:tc>
        <w:tc>
          <w:tcPr>
            <w:tcW w:type="dxa" w:w="3437"/>
            <w:vAlign w:val="center"/>
          </w:tcPr>
          <w:p>
            <w:r/>
            <w:r>
              <w:rPr>
                <w:b w:val="0"/>
                <w:sz w:val="17"/>
              </w:rPr>
              <w:t>Sauvegarde chiffrée en HTTPS.</w:t>
            </w:r>
          </w:p>
        </w:tc>
      </w:tr>
      <w:tr>
        <w:tc>
          <w:tcPr>
            <w:tcW w:type="dxa" w:w="3437"/>
            <w:vAlign w:val="center"/>
          </w:tcPr>
          <w:p>
            <w:r/>
            <w:r>
              <w:rPr>
                <w:b w:val="0"/>
                <w:sz w:val="17"/>
              </w:rPr>
              <w:t>/opt/atlas-si/backups/</w:t>
            </w:r>
          </w:p>
        </w:tc>
        <w:tc>
          <w:tcPr>
            <w:tcW w:type="dxa" w:w="3437"/>
            <w:vAlign w:val="center"/>
          </w:tcPr>
          <w:p>
            <w:r/>
            <w:r>
              <w:rPr>
                <w:b w:val="0"/>
                <w:sz w:val="17"/>
              </w:rPr>
              <w:t>Dumps PostgreSQL</w:t>
            </w:r>
          </w:p>
        </w:tc>
        <w:tc>
          <w:tcPr>
            <w:tcW w:type="dxa" w:w="3437"/>
            <w:vAlign w:val="center"/>
          </w:tcPr>
          <w:p>
            <w:r/>
            <w:r>
              <w:rPr>
                <w:b w:val="0"/>
                <w:sz w:val="17"/>
              </w:rPr>
              <w:t>Externaliser et tester la restauration.</w:t>
            </w:r>
          </w:p>
        </w:tc>
      </w:tr>
      <w:tr>
        <w:tc>
          <w:tcPr>
            <w:tcW w:type="dxa" w:w="3437"/>
            <w:vAlign w:val="center"/>
          </w:tcPr>
          <w:p>
            <w:r/>
            <w:r>
              <w:rPr>
                <w:b w:val="0"/>
                <w:sz w:val="17"/>
              </w:rPr>
              <w:t>Volume atlas_postgres_data</w:t>
            </w:r>
          </w:p>
        </w:tc>
        <w:tc>
          <w:tcPr>
            <w:tcW w:type="dxa" w:w="3437"/>
            <w:vAlign w:val="center"/>
          </w:tcPr>
          <w:p>
            <w:r/>
            <w:r>
              <w:rPr>
                <w:b w:val="0"/>
                <w:sz w:val="17"/>
              </w:rPr>
              <w:t>Référentiel complet</w:t>
            </w:r>
          </w:p>
        </w:tc>
        <w:tc>
          <w:tcPr>
            <w:tcW w:type="dxa" w:w="3437"/>
            <w:vAlign w:val="center"/>
          </w:tcPr>
          <w:p>
            <w:r/>
            <w:r>
              <w:rPr>
                <w:b w:val="0"/>
                <w:sz w:val="17"/>
              </w:rPr>
              <w:t>Persistance principale.</w:t>
            </w:r>
          </w:p>
        </w:tc>
      </w:tr>
      <w:tr>
        <w:tc>
          <w:tcPr>
            <w:tcW w:type="dxa" w:w="3437"/>
            <w:vAlign w:val="center"/>
          </w:tcPr>
          <w:p>
            <w:r/>
            <w:r>
              <w:rPr>
                <w:b w:val="0"/>
                <w:sz w:val="17"/>
              </w:rPr>
              <w:t>/usr/share/nginx/html</w:t>
            </w:r>
          </w:p>
        </w:tc>
        <w:tc>
          <w:tcPr>
            <w:tcW w:type="dxa" w:w="3437"/>
            <w:vAlign w:val="center"/>
          </w:tcPr>
          <w:p>
            <w:r/>
            <w:r>
              <w:rPr>
                <w:b w:val="0"/>
                <w:sz w:val="17"/>
              </w:rPr>
              <w:t>Frontend compilé</w:t>
            </w:r>
          </w:p>
        </w:tc>
        <w:tc>
          <w:tcPr>
            <w:tcW w:type="dxa" w:w="3437"/>
            <w:vAlign w:val="center"/>
          </w:tcPr>
          <w:p>
            <w:r/>
            <w:r>
              <w:rPr>
                <w:b w:val="0"/>
                <w:sz w:val="17"/>
              </w:rPr>
              <w:t>Reconstructible depuis l’archive.</w:t>
            </w:r>
          </w:p>
        </w:tc>
      </w:tr>
      <w:tr>
        <w:tc>
          <w:tcPr>
            <w:tcW w:type="dxa" w:w="3437"/>
            <w:vAlign w:val="center"/>
          </w:tcPr>
          <w:p>
            <w:r/>
            <w:r>
              <w:rPr>
                <w:b w:val="0"/>
                <w:sz w:val="17"/>
              </w:rPr>
              <w:t>docker compose logs</w:t>
            </w:r>
          </w:p>
        </w:tc>
        <w:tc>
          <w:tcPr>
            <w:tcW w:type="dxa" w:w="3437"/>
            <w:vAlign w:val="center"/>
          </w:tcPr>
          <w:p>
            <w:r/>
            <w:r>
              <w:rPr>
                <w:b w:val="0"/>
                <w:sz w:val="17"/>
              </w:rPr>
              <w:t>Journaux des services</w:t>
            </w:r>
          </w:p>
        </w:tc>
        <w:tc>
          <w:tcPr>
            <w:tcW w:type="dxa" w:w="3437"/>
            <w:vAlign w:val="center"/>
          </w:tcPr>
          <w:p>
            <w:r/>
            <w:r>
              <w:rPr>
                <w:b w:val="0"/>
                <w:sz w:val="17"/>
              </w:rPr>
              <w:t>Collecte centralisée recommandée.</w:t>
            </w:r>
          </w:p>
        </w:tc>
      </w:tr>
    </w:tbl>
    <w:p>
      <w:r>
        <w:t>Le logo téléversé, les objets, relations, cartes, positions, réglages, audits, imports, scénarios d’impact et observations de versions sont stockés dans PostgreSQL. Les fichiers CSV ou JSON sources ne sont pas conservés comme pièces jointes.</w:t>
      </w:r>
    </w:p>
    <w:p>
      <w:pPr>
        <w:pStyle w:val="Heading1"/>
      </w:pPr>
      <w:r>
        <w:t>7. Sauvegarde et restauration</w:t>
      </w:r>
    </w:p>
    <w:p>
      <w:pPr>
        <w:pStyle w:val="Code"/>
        <w:shd w:fill="F1F5F9"/>
      </w:pPr>
      <w:r>
        <w:t>sudo ./scripts/backup.sh</w:t>
        <w:br/>
        <w:t>sudo ls -lh /opt/atlas-si/backups/</w:t>
      </w:r>
    </w:p>
    <w:p>
      <w:r>
        <w:t>Le script produit un dump PostgreSQL au format personnalisé, avec des permissions restrictives et une rétention locale configurable.</w:t>
      </w:r>
    </w:p>
    <w:p>
      <w:pPr>
        <w:pStyle w:val="Code"/>
        <w:shd w:fill="F1F5F9"/>
      </w:pPr>
      <w:r>
        <w:t>sudo ./scripts/restore.sh /chemin/atlas-AAAAMMJJ-HHMMSS.dump</w:t>
      </w:r>
    </w:p>
    <w:tbl>
      <w:tblPr>
        <w:tblW w:type="auto" w:w="0"/>
        <w:jc w:val="center"/>
        <w:tblLook w:firstColumn="1" w:firstRow="1" w:lastColumn="0" w:lastRow="0" w:noHBand="0" w:noVBand="1" w:val="04A0"/>
      </w:tblPr>
      <w:tblGrid>
        <w:gridCol w:w="10312"/>
      </w:tblGrid>
      <w:tr>
        <w:tc>
          <w:tcPr>
            <w:tcW w:type="dxa" w:w="10312"/>
            <w:shd w:fill="FFF7D6"/>
          </w:tcPr>
          <w:p>
            <w:r>
              <w:rPr>
                <w:b/>
                <w:color w:val="1E3A8A"/>
              </w:rPr>
              <w:t xml:space="preserve">À retenir — </w:t>
            </w:r>
            <w:r>
              <w:t>La restauration remplace intégralement la base. Elle doit être testée régulièrement sur un environnement isolé.</w:t>
            </w:r>
          </w:p>
        </w:tc>
      </w:tr>
    </w:tbl>
    <w:p>
      <w:pPr>
        <w:pStyle w:val="Heading1"/>
      </w:pPr>
      <w:r>
        <w:t>8. Exploitation courante</w:t>
      </w:r>
    </w:p>
    <w:p>
      <w:pPr>
        <w:jc w:val="center"/>
      </w:pPr>
      <w:r>
        <w:drawing>
          <wp:inline xmlns:a="http://schemas.openxmlformats.org/drawingml/2006/main" xmlns:pic="http://schemas.openxmlformats.org/drawingml/2006/picture">
            <wp:extent cx="6217920" cy="1757599"/>
            <wp:docPr id="5" name="Picture 5"/>
            <wp:cNvGraphicFramePr>
              <a:graphicFrameLocks noChangeAspect="1"/>
            </wp:cNvGraphicFramePr>
            <a:graphic>
              <a:graphicData uri="http://schemas.openxmlformats.org/drawingml/2006/picture">
                <pic:pic>
                  <pic:nvPicPr>
                    <pic:cNvPr id="0" name="terminal-exploitation.png"/>
                    <pic:cNvPicPr/>
                  </pic:nvPicPr>
                  <pic:blipFill>
                    <a:blip r:embed="rId15"/>
                    <a:stretch>
                      <a:fillRect/>
                    </a:stretch>
                  </pic:blipFill>
                  <pic:spPr>
                    <a:xfrm>
                      <a:off x="0" y="0"/>
                      <a:ext cx="6217920" cy="1757599"/>
                    </a:xfrm>
                    <a:prstGeom prst="rect"/>
                  </pic:spPr>
                </pic:pic>
              </a:graphicData>
            </a:graphic>
          </wp:inline>
        </w:drawing>
      </w:r>
    </w:p>
    <w:p>
      <w:pPr>
        <w:jc w:val="center"/>
      </w:pPr>
      <w:r>
        <w:rPr>
          <w:i/>
          <w:color w:val="475569"/>
          <w:sz w:val="16"/>
        </w:rPr>
        <w:t>Commandes de contrôle, diagnostic et sauvegarde.</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E3A8A"/>
          </w:tcPr>
          <w:p>
            <w:r/>
            <w:r>
              <w:rPr>
                <w:b/>
                <w:color w:val="FFFFFF"/>
                <w:sz w:val="18"/>
              </w:rPr>
              <w:t>Besoin</w:t>
            </w:r>
          </w:p>
        </w:tc>
        <w:tc>
          <w:tcPr>
            <w:tcW w:type="dxa" w:w="5156"/>
            <w:vAlign w:val="center"/>
            <w:shd w:fill="1E3A8A"/>
          </w:tcPr>
          <w:p>
            <w:r/>
            <w:r>
              <w:rPr>
                <w:b/>
                <w:color w:val="FFFFFF"/>
                <w:sz w:val="18"/>
              </w:rPr>
              <w:t>Commande</w:t>
            </w:r>
          </w:p>
        </w:tc>
      </w:tr>
      <w:tr>
        <w:tc>
          <w:tcPr>
            <w:tcW w:type="dxa" w:w="5156"/>
            <w:vAlign w:val="center"/>
          </w:tcPr>
          <w:p>
            <w:r/>
            <w:r>
              <w:rPr>
                <w:b w:val="0"/>
                <w:sz w:val="17"/>
              </w:rPr>
              <w:t>État</w:t>
            </w:r>
          </w:p>
        </w:tc>
        <w:tc>
          <w:tcPr>
            <w:tcW w:type="dxa" w:w="5156"/>
            <w:vAlign w:val="center"/>
          </w:tcPr>
          <w:p>
            <w:r/>
            <w:r>
              <w:rPr>
                <w:b w:val="0"/>
                <w:sz w:val="17"/>
              </w:rPr>
              <w:t>docker compose ps</w:t>
            </w:r>
          </w:p>
        </w:tc>
      </w:tr>
      <w:tr>
        <w:tc>
          <w:tcPr>
            <w:tcW w:type="dxa" w:w="5156"/>
            <w:vAlign w:val="center"/>
          </w:tcPr>
          <w:p>
            <w:r/>
            <w:r>
              <w:rPr>
                <w:b w:val="0"/>
                <w:sz w:val="17"/>
              </w:rPr>
              <w:t>API</w:t>
            </w:r>
          </w:p>
        </w:tc>
        <w:tc>
          <w:tcPr>
            <w:tcW w:type="dxa" w:w="5156"/>
            <w:vAlign w:val="center"/>
          </w:tcPr>
          <w:p>
            <w:r/>
            <w:r>
              <w:rPr>
                <w:b w:val="0"/>
                <w:sz w:val="17"/>
              </w:rPr>
              <w:t>docker compose logs -f --tail=200 api</w:t>
            </w:r>
          </w:p>
        </w:tc>
      </w:tr>
      <w:tr>
        <w:tc>
          <w:tcPr>
            <w:tcW w:type="dxa" w:w="5156"/>
            <w:vAlign w:val="center"/>
          </w:tcPr>
          <w:p>
            <w:r/>
            <w:r>
              <w:rPr>
                <w:b w:val="0"/>
                <w:sz w:val="17"/>
              </w:rPr>
              <w:t>Passerelle</w:t>
            </w:r>
          </w:p>
        </w:tc>
        <w:tc>
          <w:tcPr>
            <w:tcW w:type="dxa" w:w="5156"/>
            <w:vAlign w:val="center"/>
          </w:tcPr>
          <w:p>
            <w:r/>
            <w:r>
              <w:rPr>
                <w:b w:val="0"/>
                <w:sz w:val="17"/>
              </w:rPr>
              <w:t>docker compose logs -f --tail=200 gateway</w:t>
            </w:r>
          </w:p>
        </w:tc>
      </w:tr>
      <w:tr>
        <w:tc>
          <w:tcPr>
            <w:tcW w:type="dxa" w:w="5156"/>
            <w:vAlign w:val="center"/>
          </w:tcPr>
          <w:p>
            <w:r/>
            <w:r>
              <w:rPr>
                <w:b w:val="0"/>
                <w:sz w:val="17"/>
              </w:rPr>
              <w:t>Base</w:t>
            </w:r>
          </w:p>
        </w:tc>
        <w:tc>
          <w:tcPr>
            <w:tcW w:type="dxa" w:w="5156"/>
            <w:vAlign w:val="center"/>
          </w:tcPr>
          <w:p>
            <w:r/>
            <w:r>
              <w:rPr>
                <w:b w:val="0"/>
                <w:sz w:val="17"/>
              </w:rPr>
              <w:t>docker compose logs -f --tail=200 postgres</w:t>
            </w:r>
          </w:p>
        </w:tc>
      </w:tr>
      <w:tr>
        <w:tc>
          <w:tcPr>
            <w:tcW w:type="dxa" w:w="5156"/>
            <w:vAlign w:val="center"/>
          </w:tcPr>
          <w:p>
            <w:r/>
            <w:r>
              <w:rPr>
                <w:b w:val="0"/>
                <w:sz w:val="17"/>
              </w:rPr>
              <w:t>Diagnostic complet</w:t>
            </w:r>
          </w:p>
        </w:tc>
        <w:tc>
          <w:tcPr>
            <w:tcW w:type="dxa" w:w="5156"/>
            <w:vAlign w:val="center"/>
          </w:tcPr>
          <w:p>
            <w:r/>
            <w:r>
              <w:rPr>
                <w:b w:val="0"/>
                <w:sz w:val="17"/>
              </w:rPr>
              <w:t>./scripts/diagnose.sh</w:t>
            </w:r>
          </w:p>
        </w:tc>
      </w:tr>
      <w:tr>
        <w:tc>
          <w:tcPr>
            <w:tcW w:type="dxa" w:w="5156"/>
            <w:vAlign w:val="center"/>
          </w:tcPr>
          <w:p>
            <w:r/>
            <w:r>
              <w:rPr>
                <w:b w:val="0"/>
                <w:sz w:val="17"/>
              </w:rPr>
              <w:t>Versions des images</w:t>
            </w:r>
          </w:p>
        </w:tc>
        <w:tc>
          <w:tcPr>
            <w:tcW w:type="dxa" w:w="5156"/>
            <w:vAlign w:val="center"/>
          </w:tcPr>
          <w:p>
            <w:r/>
            <w:r>
              <w:rPr>
                <w:b w:val="0"/>
                <w:sz w:val="17"/>
              </w:rPr>
              <w:t>./scripts/show-image-versions.sh</w:t>
            </w:r>
          </w:p>
        </w:tc>
      </w:tr>
      <w:tr>
        <w:tc>
          <w:tcPr>
            <w:tcW w:type="dxa" w:w="5156"/>
            <w:vAlign w:val="center"/>
          </w:tcPr>
          <w:p>
            <w:r/>
            <w:r>
              <w:rPr>
                <w:b w:val="0"/>
                <w:sz w:val="17"/>
              </w:rPr>
              <w:t>Tests</w:t>
            </w:r>
          </w:p>
        </w:tc>
        <w:tc>
          <w:tcPr>
            <w:tcW w:type="dxa" w:w="5156"/>
            <w:vAlign w:val="center"/>
          </w:tcPr>
          <w:p>
            <w:r/>
            <w:r>
              <w:rPr>
                <w:b w:val="0"/>
                <w:sz w:val="17"/>
              </w:rPr>
              <w:t>./scripts/run-tests.sh</w:t>
            </w:r>
          </w:p>
        </w:tc>
      </w:tr>
    </w:tbl>
    <w:p>
      <w:pPr>
        <w:pStyle w:val="Heading2"/>
      </w:pPr>
      <w:r>
        <w:t>Limites cartographiques</w:t>
      </w:r>
    </w:p>
    <w:p>
      <w:pPr>
        <w:pStyle w:val="Code"/>
        <w:shd w:fill="F1F5F9"/>
      </w:pPr>
      <w:r>
        <w:t>MAP_MAX_RECURSION_DEPTH=10</w:t>
        <w:br/>
        <w:t>MAP_MAX_DISPLAYED_NODES=1200</w:t>
      </w:r>
    </w:p>
    <w:p>
      <w:r>
        <w:t>Augmenter ces valeurs avec prudence. Les cartes enregistrées filtrées et l’exploration progressive préservent mieux les performances et la lisibilité.</w:t>
      </w:r>
    </w:p>
    <w:p>
      <w:pPr>
        <w:pStyle w:val="Heading1"/>
      </w:pPr>
      <w:r>
        <w:t>9. Sécurité recommandée</w:t>
      </w:r>
    </w:p>
    <w:p>
      <w:pPr>
        <w:pStyle w:val="ListBullet"/>
      </w:pPr>
      <w:r>
        <w:t>Utiliser HTTPS en production.</w:t>
      </w:r>
    </w:p>
    <w:p>
      <w:pPr>
        <w:pStyle w:val="ListBullet"/>
      </w:pPr>
      <w:r>
        <w:t>Restreindre l’accès réseau au serveur et administrer Docker avec des comptes nominatifs.</w:t>
      </w:r>
    </w:p>
    <w:p>
      <w:pPr>
        <w:pStyle w:val="ListBullet"/>
      </w:pPr>
      <w:r>
        <w:t>Protéger .env, les clés privées et les sauvegardes.</w:t>
      </w:r>
    </w:p>
    <w:p>
      <w:pPr>
        <w:pStyle w:val="ListBullet"/>
      </w:pPr>
      <w:r>
        <w:t>Externaliser les journaux et surveiller les endpoints de santé.</w:t>
      </w:r>
    </w:p>
    <w:p>
      <w:pPr>
        <w:pStyle w:val="ListBullet"/>
      </w:pPr>
      <w:r>
        <w:t>Mettre à jour les images par version explicite, sans tag latest.</w:t>
      </w:r>
    </w:p>
    <w:p>
      <w:pPr>
        <w:pStyle w:val="ListBullet"/>
      </w:pPr>
      <w:r>
        <w:t>Sauvegarder avant toute modification de version majeure de PostgreSQL.</w:t>
      </w:r>
    </w:p>
    <w:p>
      <w:pPr>
        <w:pStyle w:val="Heading1"/>
      </w:pPr>
      <w:r>
        <w:t>10. Dépannage rapide</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E3A8A"/>
          </w:tcPr>
          <w:p>
            <w:r/>
            <w:r>
              <w:rPr>
                <w:b/>
                <w:color w:val="FFFFFF"/>
                <w:sz w:val="18"/>
              </w:rPr>
              <w:t>Symptôme</w:t>
            </w:r>
          </w:p>
        </w:tc>
        <w:tc>
          <w:tcPr>
            <w:tcW w:type="dxa" w:w="5156"/>
            <w:vAlign w:val="center"/>
            <w:shd w:fill="1E3A8A"/>
          </w:tcPr>
          <w:p>
            <w:r/>
            <w:r>
              <w:rPr>
                <w:b/>
                <w:color w:val="FFFFFF"/>
                <w:sz w:val="18"/>
              </w:rPr>
              <w:t>Vérification</w:t>
            </w:r>
          </w:p>
        </w:tc>
      </w:tr>
      <w:tr>
        <w:tc>
          <w:tcPr>
            <w:tcW w:type="dxa" w:w="5156"/>
            <w:vAlign w:val="center"/>
          </w:tcPr>
          <w:p>
            <w:r/>
            <w:r>
              <w:rPr>
                <w:b w:val="0"/>
                <w:sz w:val="17"/>
              </w:rPr>
              <w:t>check-config refuse le certificat</w:t>
            </w:r>
          </w:p>
        </w:tc>
        <w:tc>
          <w:tcPr>
            <w:tcW w:type="dxa" w:w="5156"/>
            <w:vAlign w:val="center"/>
          </w:tcPr>
          <w:p>
            <w:r/>
            <w:r>
              <w:rPr>
                <w:b w:val="0"/>
                <w:sz w:val="17"/>
              </w:rPr>
              <w:t>Nom des fichiers, chaîne complète, correspondance clé/certificat et SAN DNS.</w:t>
            </w:r>
          </w:p>
        </w:tc>
      </w:tr>
      <w:tr>
        <w:tc>
          <w:tcPr>
            <w:tcW w:type="dxa" w:w="5156"/>
            <w:vAlign w:val="center"/>
          </w:tcPr>
          <w:p>
            <w:r/>
            <w:r>
              <w:rPr>
                <w:b w:val="0"/>
                <w:sz w:val="17"/>
              </w:rPr>
              <w:t>Port inaccessible</w:t>
            </w:r>
          </w:p>
        </w:tc>
        <w:tc>
          <w:tcPr>
            <w:tcW w:type="dxa" w:w="5156"/>
            <w:vAlign w:val="center"/>
          </w:tcPr>
          <w:p>
            <w:r/>
            <w:r>
              <w:rPr>
                <w:b w:val="0"/>
                <w:sz w:val="17"/>
              </w:rPr>
              <w:t>GATEWAY_PORT, pare-feu, conflit local et docker compose ps.</w:t>
            </w:r>
          </w:p>
        </w:tc>
      </w:tr>
      <w:tr>
        <w:tc>
          <w:tcPr>
            <w:tcW w:type="dxa" w:w="5156"/>
            <w:vAlign w:val="center"/>
          </w:tcPr>
          <w:p>
            <w:r/>
            <w:r>
              <w:rPr>
                <w:b w:val="0"/>
                <w:sz w:val="17"/>
              </w:rPr>
              <w:t>Boucle de connexion</w:t>
            </w:r>
          </w:p>
        </w:tc>
        <w:tc>
          <w:tcPr>
            <w:tcW w:type="dxa" w:w="5156"/>
            <w:vAlign w:val="center"/>
          </w:tcPr>
          <w:p>
            <w:r/>
            <w:r>
              <w:rPr>
                <w:b w:val="0"/>
                <w:sz w:val="17"/>
              </w:rPr>
              <w:t>PUBLIC_BASE_URL, COOKIE_SECURE, URL de redirection Keycloak.</w:t>
            </w:r>
          </w:p>
        </w:tc>
      </w:tr>
      <w:tr>
        <w:tc>
          <w:tcPr>
            <w:tcW w:type="dxa" w:w="5156"/>
            <w:vAlign w:val="center"/>
          </w:tcPr>
          <w:p>
            <w:r/>
            <w:r>
              <w:rPr>
                <w:b w:val="0"/>
                <w:sz w:val="17"/>
              </w:rPr>
              <w:t>Ancien frontend</w:t>
            </w:r>
          </w:p>
        </w:tc>
        <w:tc>
          <w:tcPr>
            <w:tcW w:type="dxa" w:w="5156"/>
            <w:vAlign w:val="center"/>
          </w:tcPr>
          <w:p>
            <w:r/>
            <w:r>
              <w:rPr>
                <w:b w:val="0"/>
                <w:sz w:val="17"/>
              </w:rPr>
              <w:t>Reconstruire gateway sans cache puis recharger le navigateur.</w:t>
            </w:r>
          </w:p>
        </w:tc>
      </w:tr>
      <w:tr>
        <w:tc>
          <w:tcPr>
            <w:tcW w:type="dxa" w:w="5156"/>
            <w:vAlign w:val="center"/>
          </w:tcPr>
          <w:p>
            <w:r/>
            <w:r>
              <w:rPr>
                <w:b w:val="0"/>
                <w:sz w:val="17"/>
              </w:rPr>
              <w:t>API non saine</w:t>
            </w:r>
          </w:p>
        </w:tc>
        <w:tc>
          <w:tcPr>
            <w:tcW w:type="dxa" w:w="5156"/>
            <w:vAlign w:val="center"/>
          </w:tcPr>
          <w:p>
            <w:r/>
            <w:r>
              <w:rPr>
                <w:b w:val="0"/>
                <w:sz w:val="17"/>
              </w:rPr>
              <w:t>docker compose logs api et état de PostgreSQL.</w:t>
            </w:r>
          </w:p>
        </w:tc>
      </w:tr>
      <w:tr>
        <w:tc>
          <w:tcPr>
            <w:tcW w:type="dxa" w:w="5156"/>
            <w:vAlign w:val="center"/>
          </w:tcPr>
          <w:p>
            <w:r/>
            <w:r>
              <w:rPr>
                <w:b w:val="0"/>
                <w:sz w:val="17"/>
              </w:rPr>
              <w:t>Sauvegarde vide</w:t>
            </w:r>
          </w:p>
        </w:tc>
        <w:tc>
          <w:tcPr>
            <w:tcW w:type="dxa" w:w="5156"/>
            <w:vAlign w:val="center"/>
          </w:tcPr>
          <w:p>
            <w:r/>
            <w:r>
              <w:rPr>
                <w:b w:val="0"/>
                <w:sz w:val="17"/>
              </w:rPr>
              <w:t>État PostgreSQL, variables POSTGRES_DB/USER et espace disque.</w:t>
            </w:r>
          </w:p>
        </w:tc>
      </w:tr>
    </w:tbl>
    <w:sectPr>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Atlas SI 2.2.0 — Installation et exploitation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3A8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283" w:right="283"/>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