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  <w:r>
        <w:rPr>
          <w:rFonts w:ascii="Calibri" w:hAnsi="Calibri"/>
          <w:b/>
          <w:color w:val="1F7A7A"/>
          <w:sz w:val="18"/>
        </w:rPr>
        <w:t>DEVELOPMENT PROTOCOL</w:t>
      </w:r>
    </w:p>
    <w:p>
      <w:pPr>
        <w:pStyle w:val="Title"/>
      </w:pPr>
      <w:r>
        <w:t>TurkCuisineBench</w:t>
      </w:r>
    </w:p>
    <w:p>
      <w:pPr>
        <w:pStyle w:val="Subtitle"/>
      </w:pPr>
      <w:r>
        <w:t>Prompt, Normalization, and Scoring Protocol</w:t>
      </w:r>
    </w:p>
    <w:p>
      <w:pPr>
        <w:spacing w:before="400" w:after="520"/>
      </w:pPr>
      <w:r>
        <w:rPr>
          <w:rFonts w:ascii="Calibri" w:hAnsi="Calibri"/>
          <w:b/>
          <w:color w:val="17324D"/>
          <w:sz w:val="24"/>
        </w:rPr>
        <w:t>v0.1  ·  DEV ONLY  ·  NOT FROZEN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35" w:type="dxa"/>
        <w:tblBorders>
          <w:top w:val="single" w:sz="8" w:space="0" w:color="C9D7E2"/>
          <w:left w:val="single" w:sz="8" w:space="0" w:color="C9D7E2"/>
          <w:bottom w:val="single" w:sz="8" w:space="0" w:color="C9D7E2"/>
          <w:right w:val="single" w:sz="8" w:space="0" w:color="C9D7E2"/>
          <w:insideH w:val="single" w:sz="8" w:space="0" w:color="C9D7E2"/>
          <w:insideV w:val="single" w:sz="8" w:space="0" w:color="C9D7E2"/>
        </w:tblBorders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EF3F8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</w:tcPr>
          <w:p>
            <w:pPr>
              <w:pStyle w:val="ProtocolLabel"/>
            </w:pPr>
            <w:r>
              <w:t>DOCUMENT DATE</w:t>
            </w:r>
          </w:p>
        </w:tc>
        <w:tc>
          <w:tcPr>
            <w:tcW w:type="dxa" w:w="7260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</w:tcPr>
          <w:p>
            <w:pPr>
              <w:spacing w:after="0"/>
            </w:pPr>
            <w:r>
              <w:t>24 August 2026</w:t>
            </w:r>
          </w:p>
        </w:tc>
      </w:tr>
      <w:tr>
        <w:trPr>
          <w:cantSplit/>
        </w:trPr>
        <w:tc>
          <w:tcPr>
            <w:tcW w:type="dxa" w:w="2100"/>
            <w:shd w:fill="EEF3F8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</w:tcPr>
          <w:p>
            <w:pPr>
              <w:pStyle w:val="ProtocolLabel"/>
            </w:pPr>
            <w:r>
              <w:t>SCOPE</w:t>
            </w:r>
          </w:p>
        </w:tc>
        <w:tc>
          <w:tcPr>
            <w:tcW w:type="dxa" w:w="7260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</w:tcPr>
          <w:p>
            <w:pPr>
              <w:spacing w:after="0"/>
            </w:pPr>
            <w:r>
              <w:t>TurkCuisineBench-Dev v0.1; 36 development items</w:t>
            </w:r>
          </w:p>
        </w:tc>
      </w:tr>
      <w:tr>
        <w:trPr>
          <w:cantSplit/>
        </w:trPr>
        <w:tc>
          <w:tcPr>
            <w:tcW w:type="dxa" w:w="2100"/>
            <w:shd w:fill="EEF3F8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</w:tcPr>
          <w:p>
            <w:pPr>
              <w:pStyle w:val="ProtocolLabel"/>
            </w:pPr>
            <w:r>
              <w:t>TRANSITION CONDITION</w:t>
            </w:r>
          </w:p>
        </w:tc>
        <w:tc>
          <w:tcPr>
            <w:tcW w:type="dxa" w:w="7260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</w:tcPr>
          <w:p>
            <w:pPr>
              <w:spacing w:after="0"/>
            </w:pPr>
            <w:r>
              <w:t>Adjudication of seven boundary cases by two independent reviewers and an adjudicator</w:t>
            </w:r>
          </w:p>
        </w:tc>
      </w:tr>
      <w:tr>
        <w:trPr>
          <w:cantSplit/>
        </w:trPr>
        <w:tc>
          <w:tcPr>
            <w:tcW w:type="dxa" w:w="2100"/>
            <w:shd w:fill="EEF3F8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</w:tcPr>
          <w:p>
            <w:pPr>
              <w:pStyle w:val="ProtocolLabel"/>
            </w:pPr>
            <w:r>
              <w:t>VERSION TARGET</w:t>
            </w:r>
          </w:p>
        </w:tc>
        <w:tc>
          <w:tcPr>
            <w:tcW w:type="dxa" w:w="7260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</w:tcPr>
          <w:p>
            <w:pPr>
              <w:spacing w:after="0"/>
            </w:pPr>
            <w:r>
              <w:t>Dev v0.2 after adjudication; prompt and scorer v1.0 before Test evaluation</w:t>
            </w:r>
          </w:p>
        </w:tc>
      </w:tr>
    </w:tbl>
    <w:p>
      <w:pPr>
        <w:spacing w:before="640" w:after="0"/>
      </w:pPr>
      <w:r>
        <w:rPr>
          <w:b/>
          <w:color w:val="1F7A7A"/>
        </w:rPr>
        <w:t>Status note</w:t>
      </w:r>
    </w:p>
    <w:p>
      <w:pPr>
        <w:spacing w:after="0"/>
      </w:pPr>
      <w:r>
        <w:t>This document is an executable draft for pilot testing, not a benchmark freeze record. Dev items will not contribute to the headline score on the final Test leaderboard.</w:t>
      </w:r>
    </w:p>
    <w:p>
      <w:r>
        <w:br w:type="page"/>
      </w:r>
    </w:p>
    <w:p>
      <w:pPr>
        <w:pStyle w:val="Heading1"/>
      </w:pPr>
      <w:r>
        <w:t>1. Purpose and decision status</w:t>
      </w:r>
    </w:p>
    <w:p>
      <w:r>
        <w:t>This protocol standardizes how TurkCuisineBench-Dev items are presented to models, how raw outputs are retained, and how responses are converted into CO/IN/NA labels. Automatic scoring is limited to explicitly defined accepted answers; uncertain cases are not automatically marked correct through semantic similarity.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10" w:space="0" w:color="AFCAC7"/>
          <w:left w:val="single" w:sz="10" w:space="0" w:color="AFCAC7"/>
          <w:bottom w:val="single" w:sz="10" w:space="0" w:color="AFCAC7"/>
          <w:right w:val="single" w:sz="10" w:space="0" w:color="AFCAC7"/>
          <w:insideH w:val="single" w:sz="10" w:space="0" w:color="AFCAC7"/>
          <w:insideV w:val="single" w:sz="10" w:space="0" w:color="AFCAC7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70" w:type="dxa"/>
              <w:bottom w:w="150" w:type="dxa"/>
              <w:end w:w="170" w:type="dxa"/>
            </w:tcMar>
            <w:shd w:fill="FFF5D8"/>
          </w:tcPr>
          <w:p>
            <w:pPr>
              <w:pStyle w:val="ProtocolLabel"/>
            </w:pPr>
            <w:r>
              <w:t>VERSION DECISION</w:t>
            </w:r>
          </w:p>
          <w:p>
            <w:pPr>
              <w:spacing w:after="60"/>
            </w:pPr>
            <w:r>
              <w:t>Version 0.1 is a development draft. Dev v0.2 cannot be frozen until the seven review_required items have been adjudicated. The prompt and scorer will be locked as v1.0 before independent Test evaluation.</w:t>
            </w:r>
          </w:p>
        </w:tc>
      </w:tr>
    </w:tbl>
    <w:p>
      <w:pPr>
        <w:pStyle w:val="Heading1"/>
      </w:pPr>
      <w:r>
        <w:t>2. Canonical Turkish prompt</w:t>
      </w:r>
    </w:p>
    <w:p>
      <w:r>
        <w:t>Each item is issued independently using the text below without modification. Only the item-level question is inserted into {question_tr}.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10" w:space="0" w:color="AFCAC7"/>
          <w:left w:val="single" w:sz="10" w:space="0" w:color="AFCAC7"/>
          <w:bottom w:val="single" w:sz="10" w:space="0" w:color="AFCAC7"/>
          <w:right w:val="single" w:sz="10" w:space="0" w:color="AFCAC7"/>
          <w:insideH w:val="single" w:sz="10" w:space="0" w:color="AFCAC7"/>
          <w:insideV w:val="single" w:sz="10" w:space="0" w:color="AFCAC7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70" w:type="dxa"/>
              <w:bottom w:w="150" w:type="dxa"/>
              <w:end w:w="170" w:type="dxa"/>
            </w:tcMar>
            <w:shd w:fill="EAF4F3"/>
          </w:tcPr>
          <w:p>
            <w:pPr>
              <w:pStyle w:val="ProtocolLabel"/>
            </w:pPr>
            <w:r>
              <w:t>PROMPT_TR_V0.1</w:t>
            </w:r>
          </w:p>
          <w:p>
            <w:pPr>
              <w:pStyle w:val="CodePrompt"/>
              <w:spacing w:after="60"/>
            </w:pPr>
            <w:r>
              <w:t>Aşağıdaki soruyu mümkün olduğunca kısa yanıtlayın. Yalnızca cevabı yazın; açıklama, gerekçe veya ek bilgi vermeyin. Cevabı bilmiyorsanız yalnızca “Bilmiyorum” yazın.</w:t>
            </w:r>
          </w:p>
          <w:p>
            <w:pPr>
              <w:pStyle w:val="CodePrompt"/>
              <w:spacing w:after="60"/>
            </w:pPr>
            <w:r>
              <w:t>Soru: {question_tr}</w:t>
              <w:br/>
              <w:t>Cevap:</w:t>
            </w:r>
          </w:p>
        </w:tc>
      </w:tr>
    </w:tbl>
    <w:p>
      <w:pPr>
        <w:pStyle w:val="Heading1"/>
      </w:pPr>
      <w:r>
        <w:t>3. Fixed execution conditions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  <w:tblBorders>
          <w:top w:val="single" w:sz="8" w:space="0" w:color="E8EDF1"/>
          <w:left w:val="single" w:sz="8" w:space="0" w:color="E8EDF1"/>
          <w:bottom w:val="single" w:sz="8" w:space="0" w:color="E8EDF1"/>
          <w:right w:val="single" w:sz="8" w:space="0" w:color="E8EDF1"/>
          <w:insideH w:val="single" w:sz="8" w:space="0" w:color="E8EDF1"/>
          <w:insideV w:val="single" w:sz="8" w:space="0" w:color="E8EDF1"/>
        </w:tblBorders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17324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6760"/>
            <w:shd w:fill="17324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Fixed rule</w:t>
            </w:r>
          </w:p>
        </w:tc>
      </w:tr>
      <w:tr>
        <w:trPr>
          <w:cantSplit/>
        </w:trPr>
        <w:tc>
          <w:tcPr>
            <w:tcW w:type="dxa" w:w="260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Tools and external information</w:t>
            </w:r>
          </w:p>
        </w:tc>
        <w:tc>
          <w:tcPr>
            <w:tcW w:type="dxa" w:w="676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Disable web search, retrieval-augmented generation, code execution, and all other tools.</w:t>
            </w:r>
          </w:p>
        </w:tc>
      </w:tr>
      <w:tr>
        <w:trPr>
          <w:cantSplit/>
        </w:trPr>
        <w:tc>
          <w:tcPr>
            <w:tcW w:type="dxa" w:w="260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Context</w:t>
            </w:r>
          </w:p>
        </w:tc>
        <w:tc>
          <w:tcPr>
            <w:tcW w:type="dxa" w:w="676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Use one item per request, with no conversation history, few-shot example, or supplementary hint.</w:t>
            </w:r>
          </w:p>
        </w:tc>
      </w:tr>
      <w:tr>
        <w:trPr>
          <w:cantSplit/>
        </w:trPr>
        <w:tc>
          <w:tcPr>
            <w:tcW w:type="dxa" w:w="260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Language and template</w:t>
            </w:r>
          </w:p>
        </w:tc>
        <w:tc>
          <w:tcPr>
            <w:tcW w:type="dxa" w:w="676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Use the Turkish prompt and identical system/task templates across models.</w:t>
            </w:r>
          </w:p>
        </w:tc>
      </w:tr>
      <w:tr>
        <w:trPr>
          <w:cantSplit/>
        </w:trPr>
        <w:tc>
          <w:tcPr>
            <w:tcW w:type="dxa" w:w="260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Sampling</w:t>
            </w:r>
          </w:p>
        </w:tc>
        <w:tc>
          <w:tcPr>
            <w:tcW w:type="dxa" w:w="676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Use temperature=0 when supported; otherwise record the provider's lowest deterministic setting.</w:t>
            </w:r>
          </w:p>
        </w:tc>
      </w:tr>
      <w:tr>
        <w:trPr>
          <w:cantSplit/>
        </w:trPr>
        <w:tc>
          <w:tcPr>
            <w:tcW w:type="dxa" w:w="260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Length</w:t>
            </w:r>
          </w:p>
        </w:tc>
        <w:tc>
          <w:tcPr>
            <w:tcW w:type="dxa" w:w="676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Use a 64-token response budget or the provider's closest safe equivalent.</w:t>
            </w:r>
          </w:p>
        </w:tc>
      </w:tr>
      <w:tr>
        <w:trPr>
          <w:cantSplit/>
        </w:trPr>
        <w:tc>
          <w:tcPr>
            <w:tcW w:type="dxa" w:w="260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Audit trail</w:t>
            </w:r>
          </w:p>
        </w:tc>
        <w:tc>
          <w:tcPr>
            <w:tcW w:type="dxa" w:w="676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Log exact model/provider/version, date, settings, raw output, request identifier, and latency.</w:t>
            </w:r>
          </w:p>
        </w:tc>
      </w:tr>
    </w:tbl>
    <w:p>
      <w:r>
        <w:br w:type="page"/>
      </w:r>
    </w:p>
    <w:p>
      <w:pPr>
        <w:pStyle w:val="Heading1"/>
      </w:pPr>
      <w:r>
        <w:t>4. Response processing and normalization</w:t>
      </w:r>
    </w:p>
    <w:p>
      <w:r>
        <w:t>The raw output is never overwritten. Each transformation is applied in order to a derived normalized_response, and the normalization version is stored in the run record.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  <w:tblBorders>
          <w:top w:val="single" w:sz="8" w:space="0" w:color="E8EDF1"/>
          <w:left w:val="single" w:sz="8" w:space="0" w:color="E8EDF1"/>
          <w:bottom w:val="single" w:sz="8" w:space="0" w:color="E8EDF1"/>
          <w:right w:val="single" w:sz="8" w:space="0" w:color="E8EDF1"/>
          <w:insideH w:val="single" w:sz="8" w:space="0" w:color="E8EDF1"/>
          <w:insideV w:val="single" w:sz="8" w:space="0" w:color="E8EDF1"/>
        </w:tblBorders>
      </w:tblPr>
      <w:tblGrid>
        <w:gridCol w:w="650"/>
        <w:gridCol w:w="2450"/>
        <w:gridCol w:w="6260"/>
      </w:tblGrid>
      <w:tr>
        <w:trPr>
          <w:tblHeader w:val="true"/>
          <w:cantSplit/>
        </w:trPr>
        <w:tc>
          <w:tcPr>
            <w:tcW w:type="dxa" w:w="650"/>
            <w:shd w:fill="17324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Order</w:t>
            </w:r>
          </w:p>
        </w:tc>
        <w:tc>
          <w:tcPr>
            <w:tcW w:type="dxa" w:w="2450"/>
            <w:shd w:fill="17324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6260"/>
            <w:shd w:fill="17324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>
        <w:trPr>
          <w:cantSplit/>
        </w:trPr>
        <w:tc>
          <w:tcPr>
            <w:tcW w:type="dxa" w:w="65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245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Preserve raw text</w:t>
            </w:r>
          </w:p>
        </w:tc>
        <w:tc>
          <w:tcPr>
            <w:tcW w:type="dxa" w:w="626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Store the provider output unchanged as raw_response.</w:t>
            </w:r>
          </w:p>
        </w:tc>
      </w:tr>
      <w:tr>
        <w:trPr>
          <w:cantSplit/>
        </w:trPr>
        <w:tc>
          <w:tcPr>
            <w:tcW w:type="dxa" w:w="65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2</w:t>
            </w:r>
          </w:p>
        </w:tc>
        <w:tc>
          <w:tcPr>
            <w:tcW w:type="dxa" w:w="245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Trim boundary whitespace</w:t>
            </w:r>
          </w:p>
        </w:tc>
        <w:tc>
          <w:tcPr>
            <w:tcW w:type="dxa" w:w="626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Remove leading/trailing whitespace and collapse internal whitespace sequences to one space.</w:t>
            </w:r>
          </w:p>
        </w:tc>
      </w:tr>
      <w:tr>
        <w:trPr>
          <w:cantSplit/>
        </w:trPr>
        <w:tc>
          <w:tcPr>
            <w:tcW w:type="dxa" w:w="65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3</w:t>
            </w:r>
          </w:p>
        </w:tc>
        <w:tc>
          <w:tcPr>
            <w:tcW w:type="dxa" w:w="245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Unicode NFC</w:t>
            </w:r>
          </w:p>
        </w:tc>
        <w:tc>
          <w:tcPr>
            <w:tcW w:type="dxa" w:w="626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Convert to NFC so canonically equivalent sequences share one representation.</w:t>
            </w:r>
          </w:p>
        </w:tc>
      </w:tr>
      <w:tr>
        <w:trPr>
          <w:cantSplit/>
        </w:trPr>
        <w:tc>
          <w:tcPr>
            <w:tcW w:type="dxa" w:w="65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4</w:t>
            </w:r>
          </w:p>
        </w:tc>
        <w:tc>
          <w:tcPr>
            <w:tcW w:type="dxa" w:w="245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Turkish-aware lowercase</w:t>
            </w:r>
          </w:p>
        </w:tc>
        <w:tc>
          <w:tcPr>
            <w:tcW w:type="dxa" w:w="626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Map İ→i and I→ı first, then lowercase the remaining text.</w:t>
            </w:r>
          </w:p>
        </w:tc>
      </w:tr>
      <w:tr>
        <w:trPr>
          <w:cantSplit/>
        </w:trPr>
        <w:tc>
          <w:tcPr>
            <w:tcW w:type="dxa" w:w="65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5</w:t>
            </w:r>
          </w:p>
        </w:tc>
        <w:tc>
          <w:tcPr>
            <w:tcW w:type="dxa" w:w="245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Typographic marks</w:t>
            </w:r>
          </w:p>
        </w:tc>
        <w:tc>
          <w:tcPr>
            <w:tcW w:type="dxa" w:w="626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Standardize smart quotation/apostrophe marks and dash variants.</w:t>
            </w:r>
          </w:p>
        </w:tc>
      </w:tr>
      <w:tr>
        <w:trPr>
          <w:cantSplit/>
        </w:trPr>
        <w:tc>
          <w:tcPr>
            <w:tcW w:type="dxa" w:w="65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6</w:t>
            </w:r>
          </w:p>
        </w:tc>
        <w:tc>
          <w:tcPr>
            <w:tcW w:type="dxa" w:w="245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Peripheral formatting</w:t>
            </w:r>
          </w:p>
        </w:tc>
        <w:tc>
          <w:tcPr>
            <w:tcW w:type="dxa" w:w="626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Remove only an exact leading ‘Cevap:’ label and terminal punctuation.</w:t>
            </w:r>
          </w:p>
        </w:tc>
      </w:tr>
    </w:tbl>
    <w:p>
      <w:pPr>
        <w:pStyle w:val="Heading2"/>
      </w:pPr>
      <w:r>
        <w:t>4.1 Guardrails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10" w:space="0" w:color="AFCAC7"/>
          <w:left w:val="single" w:sz="10" w:space="0" w:color="AFCAC7"/>
          <w:bottom w:val="single" w:sz="10" w:space="0" w:color="AFCAC7"/>
          <w:right w:val="single" w:sz="10" w:space="0" w:color="AFCAC7"/>
          <w:insideH w:val="single" w:sz="10" w:space="0" w:color="AFCAC7"/>
          <w:insideV w:val="single" w:sz="10" w:space="0" w:color="AFCAC7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70" w:type="dxa"/>
              <w:bottom w:w="150" w:type="dxa"/>
              <w:end w:w="170" w:type="dxa"/>
            </w:tcMar>
            <w:shd w:fill="FFF5D8"/>
          </w:tcPr>
          <w:p>
            <w:pPr>
              <w:pStyle w:val="ProtocolLabel"/>
            </w:pPr>
            <w:r>
              <w:t>TRANSFORMATIONS THAT ARE NOT PERMITTED AUTOMATICALLY</w:t>
            </w:r>
          </w:p>
          <w:p>
            <w:pPr>
              <w:spacing w:after="60"/>
            </w:pPr>
            <w:r>
              <w:t>Do not globally strip Turkish diacritics or convert Turkish characters to ASCII. A synonym, dialect form, spelling variant, or local term is accepted only when explicitly listed in the item's accepted_answers field. Do not delete explanatory text to extract a correct substring. Fuzzy matching or embedding-based semantic similarity cannot produce an automatic correct decision.</w:t>
            </w:r>
          </w:p>
        </w:tc>
      </w:tr>
    </w:tbl>
    <w:p>
      <w:pPr>
        <w:pStyle w:val="Heading1"/>
      </w:pPr>
      <w:r>
        <w:t>5. Automatic matching rules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  <w:tblBorders>
          <w:top w:val="single" w:sz="8" w:space="0" w:color="E8EDF1"/>
          <w:left w:val="single" w:sz="8" w:space="0" w:color="E8EDF1"/>
          <w:bottom w:val="single" w:sz="8" w:space="0" w:color="E8EDF1"/>
          <w:right w:val="single" w:sz="8" w:space="0" w:color="E8EDF1"/>
          <w:insideH w:val="single" w:sz="8" w:space="0" w:color="E8EDF1"/>
          <w:insideV w:val="single" w:sz="8" w:space="0" w:color="E8EDF1"/>
        </w:tblBorders>
      </w:tblPr>
      <w:tblGrid>
        <w:gridCol w:w="2450"/>
        <w:gridCol w:w="6910"/>
      </w:tblGrid>
      <w:tr>
        <w:trPr>
          <w:tblHeader w:val="true"/>
          <w:cantSplit/>
        </w:trPr>
        <w:tc>
          <w:tcPr>
            <w:tcW w:type="dxa" w:w="2450"/>
            <w:shd w:fill="17324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Case</w:t>
            </w:r>
          </w:p>
        </w:tc>
        <w:tc>
          <w:tcPr>
            <w:tcW w:type="dxa" w:w="6910"/>
            <w:shd w:fill="17324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Decision rule</w:t>
            </w:r>
          </w:p>
        </w:tc>
      </w:tr>
      <w:tr>
        <w:trPr>
          <w:cantSplit/>
        </w:trPr>
        <w:tc>
          <w:tcPr>
            <w:tcW w:type="dxa" w:w="245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Exact match</w:t>
            </w:r>
          </w:p>
        </w:tc>
        <w:tc>
          <w:tcPr>
            <w:tcW w:type="dxa" w:w="691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If the normalized response exactly matches one entry in the accepted set, assign CO.</w:t>
            </w:r>
          </w:p>
        </w:tc>
      </w:tr>
      <w:tr>
        <w:trPr>
          <w:cantSplit/>
        </w:trPr>
        <w:tc>
          <w:tcPr>
            <w:tcW w:type="dxa" w:w="245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One-of alias item</w:t>
            </w:r>
          </w:p>
        </w:tc>
        <w:tc>
          <w:tcPr>
            <w:tcW w:type="dxa" w:w="691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Any one explicitly listed equivalent is sufficient when given alone.</w:t>
            </w:r>
          </w:p>
        </w:tc>
      </w:tr>
      <w:tr>
        <w:trPr>
          <w:cantSplit/>
        </w:trPr>
        <w:tc>
          <w:tcPr>
            <w:tcW w:type="dxa" w:w="245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Multi-component item</w:t>
            </w:r>
          </w:p>
        </w:tc>
        <w:tc>
          <w:tcPr>
            <w:tcW w:type="dxa" w:w="691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All required components must be present; order is free only when encoded in accepted variants.</w:t>
            </w:r>
          </w:p>
        </w:tc>
      </w:tr>
      <w:tr>
        <w:trPr>
          <w:cantSplit/>
        </w:trPr>
        <w:tc>
          <w:tcPr>
            <w:tcW w:type="dxa" w:w="245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Percentage</w:t>
            </w:r>
          </w:p>
        </w:tc>
        <w:tc>
          <w:tcPr>
            <w:tcW w:type="dxa" w:w="691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Forms such as 15, 15%, yüzde 15, or en az %15 are equivalent only if specified in the accepted set.</w:t>
            </w:r>
          </w:p>
        </w:tc>
      </w:tr>
      <w:tr>
        <w:trPr>
          <w:cantSplit/>
        </w:trPr>
        <w:tc>
          <w:tcPr>
            <w:tcW w:type="dxa" w:w="245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Range</w:t>
            </w:r>
          </w:p>
        </w:tc>
        <w:tc>
          <w:tcPr>
            <w:tcW w:type="dxa" w:w="691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A range such as 2–4 must contain both endpoints; a single endpoint is not sufficient.</w:t>
            </w:r>
          </w:p>
        </w:tc>
      </w:tr>
      <w:tr>
        <w:trPr>
          <w:cantSplit/>
        </w:trPr>
        <w:tc>
          <w:tcPr>
            <w:tcW w:type="dxa" w:w="245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No exact match</w:t>
            </w:r>
          </w:p>
        </w:tc>
        <w:tc>
          <w:tcPr>
            <w:tcW w:type="dxa" w:w="691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Do not assign IN automatically; check for explicit abstention and then route to human review.</w:t>
            </w:r>
          </w:p>
        </w:tc>
      </w:tr>
    </w:tbl>
    <w:p>
      <w:r>
        <w:br w:type="page"/>
      </w:r>
    </w:p>
    <w:p>
      <w:pPr>
        <w:pStyle w:val="Heading1"/>
      </w:pPr>
      <w:r>
        <w:t>6. CO / IN / NA decision scheme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  <w:tblBorders>
          <w:top w:val="single" w:sz="8" w:space="0" w:color="E8EDF1"/>
          <w:left w:val="single" w:sz="8" w:space="0" w:color="E8EDF1"/>
          <w:bottom w:val="single" w:sz="8" w:space="0" w:color="E8EDF1"/>
          <w:right w:val="single" w:sz="8" w:space="0" w:color="E8EDF1"/>
          <w:insideH w:val="single" w:sz="8" w:space="0" w:color="E8EDF1"/>
          <w:insideV w:val="single" w:sz="8" w:space="0" w:color="E8EDF1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17324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Label</w:t>
            </w:r>
          </w:p>
        </w:tc>
        <w:tc>
          <w:tcPr>
            <w:tcW w:type="dxa" w:w="7160"/>
            <w:shd w:fill="17324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Operational definition</w:t>
            </w:r>
          </w:p>
        </w:tc>
      </w:tr>
      <w:tr>
        <w:trPr>
          <w:cantSplit/>
        </w:trPr>
        <w:tc>
          <w:tcPr>
            <w:tcW w:type="dxa" w:w="220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CO — Correct</w:t>
            </w:r>
          </w:p>
        </w:tc>
        <w:tc>
          <w:tcPr>
            <w:tcW w:type="dxa" w:w="716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The response matches an accepted answer after normalization, or human review confirms that it is source-consistent and complete.</w:t>
            </w:r>
          </w:p>
        </w:tc>
      </w:tr>
      <w:tr>
        <w:trPr>
          <w:cantSplit/>
        </w:trPr>
        <w:tc>
          <w:tcPr>
            <w:tcW w:type="dxa" w:w="220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IN — Incorrect</w:t>
            </w:r>
          </w:p>
        </w:tc>
        <w:tc>
          <w:tcPr>
            <w:tcW w:type="dxa" w:w="716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The response is wrong, contradictory, or incomplete with respect to at least one required component.</w:t>
            </w:r>
          </w:p>
        </w:tc>
      </w:tr>
      <w:tr>
        <w:trPr>
          <w:cantSplit/>
        </w:trPr>
        <w:tc>
          <w:tcPr>
            <w:tcW w:type="dxa" w:w="220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NA — No Answer</w:t>
            </w:r>
          </w:p>
        </w:tc>
        <w:tc>
          <w:tcPr>
            <w:tcW w:type="dxa" w:w="716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The response contains only an explicit abstention, canonically ‘Bilmiyorum’, and no substantive answer.</w:t>
            </w:r>
          </w:p>
        </w:tc>
      </w:tr>
    </w:tbl>
    <w:p>
      <w:pPr>
        <w:pStyle w:val="Heading2"/>
      </w:pPr>
      <w:r>
        <w:t>6.1 Decision flow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  <w:tblBorders>
          <w:top w:val="single" w:sz="8" w:space="0" w:color="E8EDF1"/>
          <w:left w:val="single" w:sz="8" w:space="0" w:color="E8EDF1"/>
          <w:bottom w:val="single" w:sz="8" w:space="0" w:color="E8EDF1"/>
          <w:right w:val="single" w:sz="8" w:space="0" w:color="E8EDF1"/>
          <w:insideH w:val="single" w:sz="8" w:space="0" w:color="E8EDF1"/>
          <w:insideV w:val="single" w:sz="8" w:space="0" w:color="E8EDF1"/>
        </w:tblBorders>
      </w:tblPr>
      <w:tblGrid>
        <w:gridCol w:w="700"/>
        <w:gridCol w:w="4300"/>
        <w:gridCol w:w="4360"/>
      </w:tblGrid>
      <w:tr>
        <w:trPr>
          <w:tblHeader w:val="true"/>
          <w:cantSplit/>
        </w:trPr>
        <w:tc>
          <w:tcPr>
            <w:tcW w:type="dxa" w:w="700"/>
            <w:shd w:fill="17324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4300"/>
            <w:shd w:fill="17324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4360"/>
            <w:shd w:fill="17324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Outcome</w:t>
            </w:r>
          </w:p>
        </w:tc>
      </w:tr>
      <w:tr>
        <w:trPr>
          <w:cantSplit/>
        </w:trPr>
        <w:tc>
          <w:tcPr>
            <w:tcW w:type="dxa" w:w="70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A</w:t>
            </w:r>
          </w:p>
        </w:tc>
        <w:tc>
          <w:tcPr>
            <w:tcW w:type="dxa" w:w="430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Record raw_response</w:t>
            </w:r>
          </w:p>
        </w:tc>
        <w:tc>
          <w:tcPr>
            <w:tcW w:type="dxa" w:w="436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Apply the versioned normalization pipeline.</w:t>
            </w:r>
          </w:p>
        </w:tc>
      </w:tr>
      <w:tr>
        <w:trPr>
          <w:cantSplit/>
        </w:trPr>
        <w:tc>
          <w:tcPr>
            <w:tcW w:type="dxa" w:w="70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B</w:t>
            </w:r>
          </w:p>
        </w:tc>
        <w:tc>
          <w:tcPr>
            <w:tcW w:type="dxa" w:w="430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Exact match to accepted_answers?</w:t>
            </w:r>
          </w:p>
        </w:tc>
        <w:tc>
          <w:tcPr>
            <w:tcW w:type="dxa" w:w="436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Yes → CO; no → C.</w:t>
            </w:r>
          </w:p>
        </w:tc>
      </w:tr>
      <w:tr>
        <w:trPr>
          <w:cantSplit/>
        </w:trPr>
        <w:tc>
          <w:tcPr>
            <w:tcW w:type="dxa" w:w="70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C</w:t>
            </w:r>
          </w:p>
        </w:tc>
        <w:tc>
          <w:tcPr>
            <w:tcW w:type="dxa" w:w="430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Explicit abstention only?</w:t>
            </w:r>
          </w:p>
        </w:tc>
        <w:tc>
          <w:tcPr>
            <w:tcW w:type="dxa" w:w="436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Yes → NA; no → D.</w:t>
            </w:r>
          </w:p>
        </w:tc>
      </w:tr>
      <w:tr>
        <w:trPr>
          <w:cantSplit/>
        </w:trPr>
        <w:tc>
          <w:tcPr>
            <w:tcW w:type="dxa" w:w="70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D</w:t>
            </w:r>
          </w:p>
        </w:tc>
        <w:tc>
          <w:tcPr>
            <w:tcW w:type="dxa" w:w="430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Human review</w:t>
            </w:r>
          </w:p>
        </w:tc>
        <w:tc>
          <w:tcPr>
            <w:tcW w:type="dxa" w:w="436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Assign CO, IN, or NA against the source and acceptance policy.</w:t>
            </w:r>
          </w:p>
        </w:tc>
      </w:tr>
    </w:tbl>
    <w:p>
      <w:pPr>
        <w:pStyle w:val="Heading1"/>
      </w:pPr>
      <w:r>
        <w:t>7. Mandatory human-review triggers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  <w:tblBorders>
          <w:top w:val="single" w:sz="8" w:space="0" w:color="E8EDF1"/>
          <w:left w:val="single" w:sz="8" w:space="0" w:color="E8EDF1"/>
          <w:bottom w:val="single" w:sz="8" w:space="0" w:color="E8EDF1"/>
          <w:right w:val="single" w:sz="8" w:space="0" w:color="E8EDF1"/>
          <w:insideH w:val="single" w:sz="8" w:space="0" w:color="E8EDF1"/>
          <w:insideV w:val="single" w:sz="8" w:space="0" w:color="E8EDF1"/>
        </w:tblBorders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shd w:fill="17324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6360"/>
            <w:shd w:fill="17324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rPr>
          <w:cantSplit/>
        </w:trPr>
        <w:tc>
          <w:tcPr>
            <w:tcW w:type="dxa" w:w="300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Correct answer plus explanation</w:t>
            </w:r>
          </w:p>
        </w:tc>
        <w:tc>
          <w:tcPr>
            <w:tcW w:type="dxa" w:w="636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Additional text violates the canonical prompt and may introduce contradiction.</w:t>
            </w:r>
          </w:p>
        </w:tc>
      </w:tr>
      <w:tr>
        <w:trPr>
          <w:cantSplit/>
        </w:trPr>
        <w:tc>
          <w:tcPr>
            <w:tcW w:type="dxa" w:w="300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Unlisted spelling variant</w:t>
            </w:r>
          </w:p>
        </w:tc>
        <w:tc>
          <w:tcPr>
            <w:tcW w:type="dxa" w:w="636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A new variant requires source and linguistic review before acceptance.</w:t>
            </w:r>
          </w:p>
        </w:tc>
      </w:tr>
      <w:tr>
        <w:trPr>
          <w:cantSplit/>
        </w:trPr>
        <w:tc>
          <w:tcPr>
            <w:tcW w:type="dxa" w:w="300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Mixed correct/incorrect content</w:t>
            </w:r>
          </w:p>
        </w:tc>
        <w:tc>
          <w:tcPr>
            <w:tcW w:type="dxa" w:w="636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The response is internally inconsistent or partly false.</w:t>
            </w:r>
          </w:p>
        </w:tc>
      </w:tr>
      <w:tr>
        <w:trPr>
          <w:cantSplit/>
        </w:trPr>
        <w:tc>
          <w:tcPr>
            <w:tcW w:type="dxa" w:w="300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Negation</w:t>
            </w:r>
          </w:p>
        </w:tc>
        <w:tc>
          <w:tcPr>
            <w:tcW w:type="dxa" w:w="636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Keyword presence may conceal a reversed meaning.</w:t>
            </w:r>
          </w:p>
        </w:tc>
      </w:tr>
      <w:tr>
        <w:trPr>
          <w:cantSplit/>
        </w:trPr>
        <w:tc>
          <w:tcPr>
            <w:tcW w:type="dxa" w:w="300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Numeric unit or range ambiguity</w:t>
            </w:r>
          </w:p>
        </w:tc>
        <w:tc>
          <w:tcPr>
            <w:tcW w:type="dxa" w:w="636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The unit, threshold, endpoints, or ‘at least’ relation is unclear.</w:t>
            </w:r>
          </w:p>
        </w:tc>
      </w:tr>
      <w:tr>
        <w:trPr>
          <w:cantSplit/>
        </w:trPr>
        <w:tc>
          <w:tcPr>
            <w:tcW w:type="dxa" w:w="300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Potential synonym</w:t>
            </w:r>
          </w:p>
        </w:tc>
        <w:tc>
          <w:tcPr>
            <w:tcW w:type="dxa" w:w="636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A claimed semantic equivalent is absent from accepted_answers.</w:t>
            </w:r>
          </w:p>
        </w:tc>
      </w:tr>
      <w:tr>
        <w:trPr>
          <w:cantSplit/>
        </w:trPr>
        <w:tc>
          <w:tcPr>
            <w:tcW w:type="dxa" w:w="300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Parser failure</w:t>
            </w:r>
          </w:p>
        </w:tc>
        <w:tc>
          <w:tcPr>
            <w:tcW w:type="dxa" w:w="636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Normalization or response parsing produces an unexpected representation.</w:t>
            </w:r>
          </w:p>
        </w:tc>
      </w:tr>
    </w:tbl>
    <w:p>
      <w:pPr>
        <w:pStyle w:val="Heading1"/>
      </w:pPr>
      <w:r>
        <w:t>8. Human adjudication</w:t>
      </w:r>
    </w:p>
    <w:p>
      <w:r>
        <w:t>Two reviewers work independently and remain blind to each other's decisions. Disagreements are resolved by a third adjudicator using the official source, question scope, and current acceptance policy. A reason code is recorded. An accepted answer may not be added merely because it appears in model outputs; every addition requires source review and a version-log entry.</w:t>
      </w:r>
    </w:p>
    <w:p>
      <w:r>
        <w:br w:type="page"/>
      </w:r>
    </w:p>
    <w:p>
      <w:pPr>
        <w:pStyle w:val="Heading1"/>
      </w:pPr>
      <w:r>
        <w:t>9. Required run log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  <w:tblBorders>
          <w:top w:val="single" w:sz="8" w:space="0" w:color="E8EDF1"/>
          <w:left w:val="single" w:sz="8" w:space="0" w:color="E8EDF1"/>
          <w:bottom w:val="single" w:sz="8" w:space="0" w:color="E8EDF1"/>
          <w:right w:val="single" w:sz="8" w:space="0" w:color="E8EDF1"/>
          <w:insideH w:val="single" w:sz="8" w:space="0" w:color="E8EDF1"/>
          <w:insideV w:val="single" w:sz="8" w:space="0" w:color="E8EDF1"/>
        </w:tblBorders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17324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Field group</w:t>
            </w:r>
          </w:p>
        </w:tc>
        <w:tc>
          <w:tcPr>
            <w:tcW w:type="dxa" w:w="7060"/>
            <w:shd w:fill="17324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Required fields</w:t>
            </w:r>
          </w:p>
        </w:tc>
      </w:tr>
      <w:tr>
        <w:trPr>
          <w:cantSplit/>
        </w:trPr>
        <w:tc>
          <w:tcPr>
            <w:tcW w:type="dxa" w:w="230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Identity</w:t>
            </w:r>
          </w:p>
        </w:tc>
        <w:tc>
          <w:tcPr>
            <w:tcW w:type="dxa" w:w="706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item_id, model_id, run_id, prompt_version</w:t>
            </w:r>
          </w:p>
        </w:tc>
      </w:tr>
      <w:tr>
        <w:trPr>
          <w:cantSplit/>
        </w:trPr>
        <w:tc>
          <w:tcPr>
            <w:tcW w:type="dxa" w:w="230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Response</w:t>
            </w:r>
          </w:p>
        </w:tc>
        <w:tc>
          <w:tcPr>
            <w:tcW w:type="dxa" w:w="706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raw_response, normalized_response</w:t>
            </w:r>
          </w:p>
        </w:tc>
      </w:tr>
      <w:tr>
        <w:trPr>
          <w:cantSplit/>
        </w:trPr>
        <w:tc>
          <w:tcPr>
            <w:tcW w:type="dxa" w:w="230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Automation</w:t>
            </w:r>
          </w:p>
        </w:tc>
        <w:tc>
          <w:tcPr>
            <w:tcW w:type="dxa" w:w="706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auto_match, manual_review, provisional_label</w:t>
            </w:r>
          </w:p>
        </w:tc>
      </w:tr>
      <w:tr>
        <w:trPr>
          <w:cantSplit/>
        </w:trPr>
        <w:tc>
          <w:tcPr>
            <w:tcW w:type="dxa" w:w="230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Final decision</w:t>
            </w:r>
          </w:p>
        </w:tc>
        <w:tc>
          <w:tcPr>
            <w:tcW w:type="dxa" w:w="706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final_label, adjudication_reason</w:t>
            </w:r>
          </w:p>
        </w:tc>
      </w:tr>
      <w:tr>
        <w:trPr>
          <w:cantSplit/>
        </w:trPr>
        <w:tc>
          <w:tcPr>
            <w:tcW w:type="dxa" w:w="230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Execution</w:t>
            </w:r>
          </w:p>
        </w:tc>
        <w:tc>
          <w:tcPr>
            <w:tcW w:type="dxa" w:w="706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timestamp, latency_ms, provider request identifier, and all sampling settings</w:t>
            </w:r>
          </w:p>
        </w:tc>
      </w:tr>
    </w:tbl>
    <w:p>
      <w:pPr>
        <w:pStyle w:val="Heading1"/>
      </w:pPr>
      <w:r>
        <w:t>10. Pilot plan</w:t>
      </w:r>
    </w:p>
    <w:p>
      <w:r>
        <w:t>The pilot is designed to debug the prompt–normalization–scoring pipeline, not to rank models. It may use one current hosted frontier model and one multilingual or open-weight model; exact model identifiers must be locked and logged before execution.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  <w:tblBorders>
          <w:top w:val="single" w:sz="8" w:space="0" w:color="E8EDF1"/>
          <w:left w:val="single" w:sz="8" w:space="0" w:color="E8EDF1"/>
          <w:bottom w:val="single" w:sz="8" w:space="0" w:color="E8EDF1"/>
          <w:right w:val="single" w:sz="8" w:space="0" w:color="E8EDF1"/>
          <w:insideH w:val="single" w:sz="8" w:space="0" w:color="E8EDF1"/>
          <w:insideV w:val="single" w:sz="8" w:space="0" w:color="E8EDF1"/>
        </w:tblBorders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shd w:fill="17324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Pilot component</w:t>
            </w:r>
          </w:p>
        </w:tc>
        <w:tc>
          <w:tcPr>
            <w:tcW w:type="dxa" w:w="6860"/>
            <w:shd w:fill="17324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v0.1 decision</w:t>
            </w:r>
          </w:p>
        </w:tc>
      </w:tr>
      <w:tr>
        <w:trPr>
          <w:cantSplit/>
        </w:trPr>
        <w:tc>
          <w:tcPr>
            <w:tcW w:type="dxa" w:w="250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Scope</w:t>
            </w:r>
          </w:p>
        </w:tc>
        <w:tc>
          <w:tcPr>
            <w:tcW w:type="dxa" w:w="686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One deterministic pass over all 36 Dev items for each model.</w:t>
            </w:r>
          </w:p>
        </w:tc>
      </w:tr>
      <w:tr>
        <w:trPr>
          <w:cantSplit/>
        </w:trPr>
        <w:tc>
          <w:tcPr>
            <w:tcW w:type="dxa" w:w="250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Success criterion</w:t>
            </w:r>
          </w:p>
        </w:tc>
        <w:tc>
          <w:tcPr>
            <w:tcW w:type="dxa" w:w="686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Every output is classifiable as CO/IN/NA and no review case remains unresolved.</w:t>
            </w:r>
          </w:p>
        </w:tc>
      </w:tr>
      <w:tr>
        <w:trPr>
          <w:cantSplit/>
        </w:trPr>
        <w:tc>
          <w:tcPr>
            <w:tcW w:type="dxa" w:w="250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Stop rule</w:t>
            </w:r>
          </w:p>
        </w:tc>
        <w:tc>
          <w:tcPr>
            <w:tcW w:type="dxa" w:w="686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Do not proceed to Test if a systematic formatting or parsing problem is detected; revise the prompt/scorer first.</w:t>
            </w:r>
          </w:p>
        </w:tc>
      </w:tr>
      <w:tr>
        <w:trPr>
          <w:cantSplit/>
        </w:trPr>
        <w:tc>
          <w:tcPr>
            <w:tcW w:type="dxa" w:w="250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Reporting</w:t>
            </w:r>
          </w:p>
        </w:tc>
        <w:tc>
          <w:tcPr>
            <w:tcW w:type="dxa" w:w="686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Report automatic-match rate, human-review rate, reviewer disagreement, and adjudication-reason distribution.</w:t>
            </w:r>
          </w:p>
        </w:tc>
      </w:tr>
    </w:tbl>
    <w:p>
      <w:pPr>
        <w:pStyle w:val="Heading1"/>
      </w:pPr>
      <w:r>
        <w:t>11. Freeze and versioning rules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  <w:tblBorders>
          <w:top w:val="single" w:sz="8" w:space="0" w:color="E8EDF1"/>
          <w:left w:val="single" w:sz="8" w:space="0" w:color="E8EDF1"/>
          <w:bottom w:val="single" w:sz="8" w:space="0" w:color="E8EDF1"/>
          <w:right w:val="single" w:sz="8" w:space="0" w:color="E8EDF1"/>
          <w:insideH w:val="single" w:sz="8" w:space="0" w:color="E8EDF1"/>
          <w:insideV w:val="single" w:sz="8" w:space="0" w:color="E8EDF1"/>
        </w:tblBorders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17324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7460"/>
            <w:shd w:fill="17324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Transition criterion / use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Dev v0.1</w:t>
            </w:r>
          </w:p>
        </w:tc>
        <w:tc>
          <w:tcPr>
            <w:tcW w:type="dxa" w:w="746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Current 36-item development set; seven items are review_required.</w:t>
            </w:r>
          </w:p>
        </w:tc>
      </w:tr>
      <w:tr>
        <w:trPr>
          <w:cantSplit/>
        </w:trPr>
        <w:tc>
          <w:tcPr>
            <w:tcW w:type="dxa" w:w="190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Dev v0.2</w:t>
            </w:r>
          </w:p>
        </w:tc>
        <w:tc>
          <w:tcPr>
            <w:tcW w:type="dxa" w:w="746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Accepted answers and notes updated after independent review and adjudication.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Protocol v1.0</w:t>
            </w:r>
          </w:p>
        </w:tc>
        <w:tc>
          <w:tcPr>
            <w:tcW w:type="dxa" w:w="746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Pilot issues closed; prompt and scorer frozen before Test.</w:t>
            </w:r>
          </w:p>
        </w:tc>
      </w:tr>
      <w:tr>
        <w:trPr>
          <w:cantSplit/>
        </w:trPr>
        <w:tc>
          <w:tcPr>
            <w:tcW w:type="dxa" w:w="190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Test</w:t>
            </w:r>
          </w:p>
        </w:tc>
        <w:tc>
          <w:tcPr>
            <w:tcW w:type="dxa" w:w="746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Items are separate from Dev; Dev responses do not contribute to the headline leaderboard score.</w:t>
            </w:r>
          </w:p>
        </w:tc>
      </w:tr>
    </w:tbl>
    <w:p>
      <w:r>
        <w:br w:type="page"/>
      </w:r>
    </w:p>
    <w:p>
      <w:pPr>
        <w:pStyle w:val="Heading1"/>
      </w:pPr>
      <w:r>
        <w:t>Appendix A. Seven boundary cases awaiting adjudication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  <w:tblBorders>
          <w:top w:val="single" w:sz="8" w:space="0" w:color="E8EDF1"/>
          <w:left w:val="single" w:sz="8" w:space="0" w:color="E8EDF1"/>
          <w:bottom w:val="single" w:sz="8" w:space="0" w:color="E8EDF1"/>
          <w:right w:val="single" w:sz="8" w:space="0" w:color="E8EDF1"/>
          <w:insideH w:val="single" w:sz="8" w:space="0" w:color="E8EDF1"/>
          <w:insideV w:val="single" w:sz="8" w:space="0" w:color="E8EDF1"/>
        </w:tblBorders>
      </w:tblPr>
      <w:tblGrid>
        <w:gridCol w:w="900"/>
        <w:gridCol w:w="2500"/>
        <w:gridCol w:w="5960"/>
      </w:tblGrid>
      <w:tr>
        <w:trPr>
          <w:tblHeader w:val="true"/>
          <w:cantSplit/>
        </w:trPr>
        <w:tc>
          <w:tcPr>
            <w:tcW w:type="dxa" w:w="900"/>
            <w:shd w:fill="17324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500"/>
            <w:shd w:fill="17324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Review issue</w:t>
            </w:r>
          </w:p>
        </w:tc>
        <w:tc>
          <w:tcPr>
            <w:tcW w:type="dxa" w:w="5960"/>
            <w:shd w:fill="17324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Decision required</w:t>
            </w:r>
          </w:p>
        </w:tc>
      </w:tr>
      <w:tr>
        <w:trPr>
          <w:cantSplit/>
        </w:trPr>
        <w:tc>
          <w:tcPr>
            <w:tcW w:type="dxa" w:w="90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D009</w:t>
            </w:r>
          </w:p>
        </w:tc>
        <w:tc>
          <w:tcPr>
            <w:tcW w:type="dxa" w:w="250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Two-component acceptance</w:t>
            </w:r>
          </w:p>
        </w:tc>
        <w:tc>
          <w:tcPr>
            <w:tcW w:type="dxa" w:w="596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Confirm that both the ingredient and operation are required and define allowed order variants.</w:t>
            </w:r>
          </w:p>
        </w:tc>
      </w:tr>
      <w:tr>
        <w:trPr>
          <w:cantSplit/>
        </w:trPr>
        <w:tc>
          <w:tcPr>
            <w:tcW w:type="dxa" w:w="90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D010</w:t>
            </w:r>
          </w:p>
        </w:tc>
        <w:tc>
          <w:tcPr>
            <w:tcW w:type="dxa" w:w="250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Local expression</w:t>
            </w:r>
          </w:p>
        </w:tc>
        <w:tc>
          <w:tcPr>
            <w:tcW w:type="dxa" w:w="596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Decide whether ‘ince belli’ is acceptable for the pear-shaped tea glass.</w:t>
            </w:r>
          </w:p>
        </w:tc>
      </w:tr>
      <w:tr>
        <w:trPr>
          <w:cantSplit/>
        </w:trPr>
        <w:tc>
          <w:tcPr>
            <w:tcW w:type="dxa" w:w="90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D017</w:t>
            </w:r>
          </w:p>
        </w:tc>
        <w:tc>
          <w:tcPr>
            <w:tcW w:type="dxa" w:w="250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Terminology variant</w:t>
            </w:r>
          </w:p>
        </w:tc>
        <w:tc>
          <w:tcPr>
            <w:tcW w:type="dxa" w:w="596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Verify whether gömlek / çember are source-supported equivalents in this context.</w:t>
            </w:r>
          </w:p>
        </w:tc>
      </w:tr>
      <w:tr>
        <w:trPr>
          <w:cantSplit/>
        </w:trPr>
        <w:tc>
          <w:tcPr>
            <w:tcW w:type="dxa" w:w="90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D021</w:t>
            </w:r>
          </w:p>
        </w:tc>
        <w:tc>
          <w:tcPr>
            <w:tcW w:type="dxa" w:w="250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Spelling and spacing</w:t>
            </w:r>
          </w:p>
        </w:tc>
        <w:tc>
          <w:tcPr>
            <w:tcW w:type="dxa" w:w="596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Verify the accepted scope of zinardı / sini ardı variants.</w:t>
            </w:r>
          </w:p>
        </w:tc>
      </w:tr>
      <w:tr>
        <w:trPr>
          <w:cantSplit/>
        </w:trPr>
        <w:tc>
          <w:tcPr>
            <w:tcW w:type="dxa" w:w="90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D024</w:t>
            </w:r>
          </w:p>
        </w:tc>
        <w:tc>
          <w:tcPr>
            <w:tcW w:type="dxa" w:w="250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Technical threshold</w:t>
            </w:r>
          </w:p>
        </w:tc>
        <w:tc>
          <w:tcPr>
            <w:tcW w:type="dxa" w:w="596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Review whether the 60 °C cooling detail is required by the question and gold answer.</w:t>
            </w:r>
          </w:p>
        </w:tc>
      </w:tr>
      <w:tr>
        <w:trPr>
          <w:cantSplit/>
        </w:trPr>
        <w:tc>
          <w:tcPr>
            <w:tcW w:type="dxa" w:w="90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D028</w:t>
            </w:r>
          </w:p>
        </w:tc>
        <w:tc>
          <w:tcPr>
            <w:tcW w:type="dxa" w:w="250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Spelling variant</w:t>
            </w:r>
          </w:p>
        </w:tc>
        <w:tc>
          <w:tcPr>
            <w:tcW w:type="dxa" w:w="596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Verify source-grounded acceptance of çöven / çöğen.</w:t>
            </w:r>
          </w:p>
        </w:tc>
      </w:tr>
      <w:tr>
        <w:trPr>
          <w:cantSplit/>
        </w:trPr>
        <w:tc>
          <w:tcPr>
            <w:tcW w:type="dxa" w:w="90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D036</w:t>
            </w:r>
          </w:p>
        </w:tc>
        <w:tc>
          <w:tcPr>
            <w:tcW w:type="dxa" w:w="250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Numeric range</w:t>
            </w:r>
          </w:p>
        </w:tc>
        <w:tc>
          <w:tcPr>
            <w:tcW w:type="dxa" w:w="596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Test 2–4 range variants and confirm two-endpoint parser behavior.</w:t>
            </w:r>
          </w:p>
        </w:tc>
      </w:tr>
    </w:tbl>
    <w:p>
      <w:pPr>
        <w:pStyle w:val="Heading1"/>
      </w:pPr>
      <w:r>
        <w:t>Appendix B. Pre-run checklist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  <w:tblBorders>
          <w:top w:val="single" w:sz="8" w:space="0" w:color="E8EDF1"/>
          <w:left w:val="single" w:sz="8" w:space="0" w:color="E8EDF1"/>
          <w:bottom w:val="single" w:sz="8" w:space="0" w:color="E8EDF1"/>
          <w:right w:val="single" w:sz="8" w:space="0" w:color="E8EDF1"/>
          <w:insideH w:val="single" w:sz="8" w:space="0" w:color="E8EDF1"/>
          <w:insideV w:val="single" w:sz="8" w:space="0" w:color="E8EDF1"/>
        </w:tblBorders>
      </w:tblPr>
      <w:tblGrid>
        <w:gridCol w:w="650"/>
        <w:gridCol w:w="8710"/>
      </w:tblGrid>
      <w:tr>
        <w:trPr>
          <w:tblHeader w:val="true"/>
          <w:cantSplit/>
        </w:trPr>
        <w:tc>
          <w:tcPr>
            <w:tcW w:type="dxa" w:w="650"/>
            <w:shd w:fill="17324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710"/>
            <w:shd w:fill="17324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Check</w:t>
            </w:r>
          </w:p>
        </w:tc>
      </w:tr>
      <w:tr>
        <w:trPr>
          <w:cantSplit/>
        </w:trPr>
        <w:tc>
          <w:tcPr>
            <w:tcW w:type="dxa" w:w="65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871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Reviewer_A and Reviewer_B sheets have been completed independently.</w:t>
            </w:r>
          </w:p>
        </w:tc>
      </w:tr>
      <w:tr>
        <w:trPr>
          <w:cantSplit/>
        </w:trPr>
        <w:tc>
          <w:tcPr>
            <w:tcW w:type="dxa" w:w="65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2</w:t>
            </w:r>
          </w:p>
        </w:tc>
        <w:tc>
          <w:tcPr>
            <w:tcW w:type="dxa" w:w="871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Final action and rationale are recorded for all seven items in Adjudication.</w:t>
            </w:r>
          </w:p>
        </w:tc>
      </w:tr>
      <w:tr>
        <w:trPr>
          <w:cantSplit/>
        </w:trPr>
        <w:tc>
          <w:tcPr>
            <w:tcW w:type="dxa" w:w="65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3</w:t>
            </w:r>
          </w:p>
        </w:tc>
        <w:tc>
          <w:tcPr>
            <w:tcW w:type="dxa" w:w="871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Dev v0.2 accepted-answer sets have been updated with version-log entries.</w:t>
            </w:r>
          </w:p>
        </w:tc>
      </w:tr>
      <w:tr>
        <w:trPr>
          <w:cantSplit/>
        </w:trPr>
        <w:tc>
          <w:tcPr>
            <w:tcW w:type="dxa" w:w="65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4</w:t>
            </w:r>
          </w:p>
        </w:tc>
        <w:tc>
          <w:tcPr>
            <w:tcW w:type="dxa" w:w="871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Exact model identifiers and provider settings are entered in the run plan.</w:t>
            </w:r>
          </w:p>
        </w:tc>
      </w:tr>
      <w:tr>
        <w:trPr>
          <w:cantSplit/>
        </w:trPr>
        <w:tc>
          <w:tcPr>
            <w:tcW w:type="dxa" w:w="65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5</w:t>
            </w:r>
          </w:p>
        </w:tc>
        <w:tc>
          <w:tcPr>
            <w:tcW w:type="dxa" w:w="8710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prompt_tr_v0.1 and the normalization version are fixed in the run record.</w:t>
            </w:r>
          </w:p>
        </w:tc>
      </w:tr>
      <w:tr>
        <w:trPr>
          <w:cantSplit/>
        </w:trPr>
        <w:tc>
          <w:tcPr>
            <w:tcW w:type="dxa" w:w="65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6</w:t>
            </w:r>
          </w:p>
        </w:tc>
        <w:tc>
          <w:tcPr>
            <w:tcW w:type="dxa" w:w="8710"/>
            <w:shd w:fill="F7F9FA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t>The pilot is complete, with no unresolved human-review case or systematic parser problem.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10" w:space="0" w:color="AFCAC7"/>
          <w:left w:val="single" w:sz="10" w:space="0" w:color="AFCAC7"/>
          <w:bottom w:val="single" w:sz="10" w:space="0" w:color="AFCAC7"/>
          <w:right w:val="single" w:sz="10" w:space="0" w:color="AFCAC7"/>
          <w:insideH w:val="single" w:sz="10" w:space="0" w:color="AFCAC7"/>
          <w:insideV w:val="single" w:sz="10" w:space="0" w:color="AFCAC7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70" w:type="dxa"/>
              <w:bottom w:w="150" w:type="dxa"/>
              <w:end w:w="170" w:type="dxa"/>
            </w:tcMar>
            <w:shd w:fill="FFF5D8"/>
          </w:tcPr>
          <w:p>
            <w:pPr>
              <w:pStyle w:val="ProtocolLabel"/>
            </w:pPr>
            <w:r>
              <w:t>GO / NO-GO DECISION</w:t>
            </w:r>
          </w:p>
          <w:p>
            <w:pPr>
              <w:spacing w:after="60"/>
            </w:pPr>
            <w:r>
              <w:t>Do not begin the main Test evaluation until all six conditions have been satisfied.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432" w:footer="40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27D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6727D"/>
        <w:sz w:val="16"/>
      </w:rPr>
      <w:t>TURKCUISINEBENCH  /  PROMPT &amp; SCORING PROTOCOL  / 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color w:val="1721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7A7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 Light" w:hAnsi="Calibri Light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1F7A7A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tocolLabel">
    <w:name w:val="Protocol Label"/>
    <w:pPr>
      <w:keepNext/>
      <w:spacing w:after="40"/>
    </w:pPr>
    <w:rPr>
      <w:rFonts w:ascii="Calibri" w:hAnsi="Calibri"/>
      <w:b/>
      <w:color w:val="1F7A7A"/>
      <w:sz w:val="17"/>
    </w:rPr>
  </w:style>
  <w:style w:type="paragraph" w:customStyle="1" w:styleId="CodePrompt">
    <w:name w:val="Code Prompt"/>
    <w:pPr>
      <w:spacing w:after="60" w:line="254" w:lineRule="auto"/>
    </w:pPr>
    <w:rPr>
      <w:rFonts w:ascii="Consolas" w:hAnsi="Consolas"/>
      <w:color w:val="17212B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TurkCuisineBench Prompt, Normalization and Scoring Protocol v0.1</dc:title>
  <dc:subject>Development protocol for TurkCuisineBench-Dev</dc:subject>
  <dc:creator>TurkCuisineBench Development Team</dc:creator>
  <cp:keywords>TurkCuisineBench, benchmark, prompt, normalization, scoring, Turkish cuisine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