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hanging="1134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ДОГОВОР</w:t>
      </w:r>
    </w:p>
    <w:p w:rsidR="00000000" w:rsidDel="00000000" w:rsidP="00000000" w:rsidRDefault="00000000" w:rsidRPr="00000000" w14:paraId="00000002">
      <w:pPr>
        <w:spacing w:line="240" w:lineRule="auto"/>
        <w:ind w:left="-1134" w:right="-105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на предоставление платных стоматологических услуг</w:t>
      </w:r>
    </w:p>
    <w:p w:rsidR="00000000" w:rsidDel="00000000" w:rsidP="00000000" w:rsidRDefault="00000000" w:rsidRPr="00000000" w14:paraId="00000003">
      <w:pPr>
        <w:spacing w:line="240" w:lineRule="auto"/>
        <w:ind w:left="-1134" w:right="-105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134" w:right="-105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г. Владивосток</w:t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  <w:tab/>
        <w:t xml:space="preserve">___  _______ 20____ </w:t>
      </w:r>
    </w:p>
    <w:p w:rsidR="00000000" w:rsidDel="00000000" w:rsidP="00000000" w:rsidRDefault="00000000" w:rsidRPr="00000000" w14:paraId="00000005">
      <w:pPr>
        <w:spacing w:line="240" w:lineRule="auto"/>
        <w:ind w:left="-1134" w:right="-105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04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«САНАДЕНТ», именуемое в дальнейшем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«Исполнитель»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 лице Генерального директора Цой Хак Бон, действующего на основании Устава, с одной стороны, и гражданин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${Familia} ${Name} ${Patronymic}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именуемый в дальнейшем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«Пациент»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с другой стороны, вместе именуемые Стороны, заключили настоящий Договор о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04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05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-774" w:right="-1050" w:hanging="36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Предмет Договора.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Исполнитель действует на основании лицензии № ЛО-25-01-002882 от «21» октября 2015  года.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Исполнитель обязуется оказывать Пациенту платные стоматологические услуги, а именно: консультации, стоматологии терапевтической, стоматологии ортопедической, стоматологии хирургической, стоматологии ортодонтической, что отмечается в медицинской карте, которая является неотъемлемой частью настоящего договора.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 даты заключения настоящего Договора услуги оказываются после проведения консультации и при необходимости  составления и согласования с Пациентом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Плана лечения </w:t>
      </w:r>
      <w:r w:rsidDel="00000000" w:rsidR="00000000" w:rsidRPr="00000000">
        <w:rPr>
          <w:sz w:val="16"/>
          <w:szCs w:val="16"/>
          <w:rtl w:val="0"/>
        </w:rPr>
        <w:t xml:space="preserve">либо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Курса лечения </w:t>
      </w:r>
      <w:r w:rsidDel="00000000" w:rsidR="00000000" w:rsidRPr="00000000">
        <w:rPr>
          <w:sz w:val="16"/>
          <w:szCs w:val="16"/>
          <w:rtl w:val="0"/>
        </w:rPr>
        <w:t xml:space="preserve">(в зависимости от характера оказываемых стоматологических услуг).</w:t>
      </w:r>
    </w:p>
    <w:p w:rsidR="00000000" w:rsidDel="00000000" w:rsidP="00000000" w:rsidRDefault="00000000" w:rsidRPr="00000000" w14:paraId="0000000D">
      <w:pPr>
        <w:spacing w:line="240" w:lineRule="auto"/>
        <w:ind w:left="-774" w:right="-105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74" w:right="-105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Права и обязанности Сторон.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-774" w:right="-1050" w:hanging="360"/>
        <w:jc w:val="both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оказать стоматологическую услугу (услуги) после проведения консультации и при необходимости составления и согласования с Пациентом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Плана лечения </w:t>
      </w:r>
      <w:r w:rsidDel="00000000" w:rsidR="00000000" w:rsidRPr="00000000">
        <w:rPr>
          <w:sz w:val="16"/>
          <w:szCs w:val="16"/>
          <w:rtl w:val="0"/>
        </w:rPr>
        <w:t xml:space="preserve">либо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Курса лечения </w:t>
      </w:r>
      <w:r w:rsidDel="00000000" w:rsidR="00000000" w:rsidRPr="00000000">
        <w:rPr>
          <w:sz w:val="16"/>
          <w:szCs w:val="16"/>
          <w:rtl w:val="0"/>
        </w:rPr>
        <w:t xml:space="preserve">(в зависимости от характера оказываемых стоматологических услуг);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обеспечить соответствие предоставляемых Пациенту платных стоматологических услуг требованиям, предъявляемым к методам диагностики, профилактики и лечения, разрешенным на территории Российской Федерации;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по просьбе Пациента обеспечить его бесплатной, доступной и достоверной информацией, включающей в себя сведения о режиме работы, перечне платных стоматологических услуг с указанием их стоимости, об условиях предоставления и получения этих услуг, а также сведения о квалификации и сертификации специалистов Исполнителя;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исходя из состояния здоровья Пациента и целей оказания стоматологической помощи, определить оптимальные методы диагностики и лечения, а также последовательность проводимых лечебных мероприятий;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случае непредвиденного отсутствия лечащего врача в день, назначенный для лечения, назначить другого врача для проведения лечения или перенести прием на другой, удобный для Пациента день;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-774" w:right="-105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предоставить Пациенту сведения о результатах обследований, диагнозах (в случае обнаружения заболеваний), возможных вариантах лечения, их предполагаемых последствиях и ожидаемых результатах оказания стоматологических услуг.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Пациент обязуется: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 подписания настоящего Договора предъявить документ, удостоверяющий его личность или страховой медицинский полис (в случае если Пациент является лицом, застрахованным в одной из страховых компаний, с которой у Исполнителя заключен договор на предоставление лечебно-диагностической помощи), а также ознакомиться с Прейскурантом Исполнителя;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оплатить Исполнителю стоимость услуг, оказываемых на основании настоящего Договора, в соответствии с п. 3 настоящего Договора;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неукоснительно выполнять все необходимые требования и предписания специалистов Исполнителя, оказывающих стоматологические услуги, включая своевременное и полное прохождение Пациентом комплекса диагностических обследований, соблюдение графика приемов специалистов, приема лекарственных средств и прохождения лечебных процедур, соблюдение иных требований и предписаний, обеспечивающих эффективность оказания стоматологических услуг по настоящему Договору;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предоставить специалистам Исполнителя необходимые для качественной стоматологической помощи достоверные сведения, в том числе подробные сведения о состоянии своего здоровья, перенесенных и имеющихся заболеваниях (в том числе гепатитов, ВИЧ-инфекции), непереносимости каких-либо лекарств, препаратов и процедур, о проведенных ранее обследованиях и лечении, иные сведения;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случае невозможности явиться на прием в согласованное со специалистом Исполнителя время, предупреждать об этом администрацию Исполнителя за 24 часа.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Порядок оплаты.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Расчеты по настоящему Договору производятся в российских рублях на основании Прейскуранта цен, действующего на момент оплаты услуг.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Оказываемые по настоящему Договору стоматологические услуги могут быть оплачены как Пациентом, так и страховой компанией Пациента, либо третьим заинтересованным физическим или юридическим лицом.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Оказанные Исполнителем консультации услуг оплачиваются отдельно по факту предоставления Пациенту этих услуг.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Оплата стоимости стоматологических услуг (терапия, хирургия, рентгенология) производится по факту предоставления Пациенту этих услуг.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Оплата стоимости стоматологических услуг (ортопедия) производится в форме 40% авансового платежа до начала оказания стоматологических услуг, но после проведения консультации и при необходимости составления и согласования с Пациентом Плана лечения либо Курса лечения (в зависимости от характера оказываемых стоматологических услуг).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Оплата стоимости стоматологических услуг (имплантология) производится в форме 100% авансового платежа до начала оказания стоматологических услуг, но после проведения консультации и при необходимости составления и согласования с Пациентом Плана лечения либо Курса лечения (в зависимости от характера оказываемых стоматологических услуг).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Оплата оставшейся стоимости производится по факту завершения оказания соответствующих услуг.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Сроки предоставления услуг.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Услуги оказываются в сроки, согласованные между Исполнителем и Пациентом, после проведения консультации и при необходимости составления и согласования с Пациентом Плана лечения либо Курса лечения (в зависимости от характера оказываемых стоматологических услуг).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Сроки оказания услуг могут быть изменены Исполнителем при наступлении условий, указанных в п. 2.1., 2.2. настоящего Договора.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74" w:right="-105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Срок действия Договора.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Настоящий Договор вступает в силу с момента его подписания и действует</w:t>
      </w:r>
      <w:r w:rsidDel="00000000" w:rsidR="00000000" w:rsidRPr="00000000">
        <w:rPr>
          <w:sz w:val="16"/>
          <w:szCs w:val="16"/>
          <w:rtl w:val="0"/>
        </w:rPr>
        <w:t xml:space="preserve"> в течении одного календарного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до полного исполнения взятых на себя Сторонами обязательств.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 момента вступления его в силу и может быть пролонгирован на тех же условиях на следующий календарный год в случае, если за тридцать дней до истечения срока действия настоящего договора ни одна из сторон не известит в письменной форме другую Сторону о намерении расторгнуть настоящий договор.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14" w:right="-105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Изменение и расторжение настоящего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Договора возможно по соглашению Сторон. Факт расторжения настоящего Договора удостоверяется подписанием Сторонами дополнительного соглашения к настоящему Договору о его расторжении.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105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050" w:firstLine="4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050" w:firstLine="4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numPr>
          <w:ilvl w:val="0"/>
          <w:numId w:val="4"/>
        </w:numPr>
        <w:spacing w:line="240" w:lineRule="auto"/>
        <w:ind w:left="-774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Ответственность Сторон.</w:t>
      </w:r>
    </w:p>
    <w:p w:rsidR="00000000" w:rsidDel="00000000" w:rsidP="00000000" w:rsidRDefault="00000000" w:rsidRPr="00000000" w14:paraId="00000038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6.1.   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 РФ.</w:t>
      </w:r>
    </w:p>
    <w:p w:rsidR="00000000" w:rsidDel="00000000" w:rsidP="00000000" w:rsidRDefault="00000000" w:rsidRPr="00000000" w14:paraId="00000039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6.2.    При несоблюдении или ненадлежащем соблюдении Пациентом рекомендаций, предписаний специалистов Исполнителя, а также при нарушении им иных, взятых на себя по настоящему Договору обязательств, Исполнитель не несет ответственности за возникновение каких-либо осложнений со здоровьем Пациента, являющихся следствием таких нарушений. </w:t>
      </w:r>
    </w:p>
    <w:p w:rsidR="00000000" w:rsidDel="00000000" w:rsidP="00000000" w:rsidRDefault="00000000" w:rsidRPr="00000000" w14:paraId="0000003A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6.3.    Исполнитель несет ответственность за несоблюдение требований, предъявляемых к методам диагностики, профилактики и лечения, разрешенным на территории Российской Федерации.</w:t>
      </w:r>
    </w:p>
    <w:p w:rsidR="00000000" w:rsidDel="00000000" w:rsidP="00000000" w:rsidRDefault="00000000" w:rsidRPr="00000000" w14:paraId="0000003B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ab/>
        <w:t xml:space="preserve">Осложнения, а также иные побочные эффекты медицинского вмешательства, возникшие вследствие индивидуальных физиологических особенностей организма, вероятность возникновения которых используемые знания и технологии не могут полностью исключить, не являются недостатками качества оказываемых услуг, если услуги оказаны с соблюдением всех необходимых требований. </w:t>
      </w:r>
    </w:p>
    <w:p w:rsidR="00000000" w:rsidDel="00000000" w:rsidP="00000000" w:rsidRDefault="00000000" w:rsidRPr="00000000" w14:paraId="0000003C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numPr>
          <w:ilvl w:val="0"/>
          <w:numId w:val="2"/>
        </w:numPr>
        <w:spacing w:line="240" w:lineRule="auto"/>
        <w:ind w:left="-774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Порядок разрешения споров.</w:t>
      </w:r>
    </w:p>
    <w:p w:rsidR="00000000" w:rsidDel="00000000" w:rsidP="00000000" w:rsidRDefault="00000000" w:rsidRPr="00000000" w14:paraId="0000003E">
      <w:pPr>
        <w:pStyle w:val="Title"/>
        <w:numPr>
          <w:ilvl w:val="1"/>
          <w:numId w:val="2"/>
        </w:numPr>
        <w:spacing w:line="240" w:lineRule="auto"/>
        <w:ind w:left="-714" w:hanging="420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В случае возникновения у Пациента жалоб, связанных с предоставлением ему услуг по настоящему Договору, Пациент должен обратиться с претензией непосредственно к руководству Исполнителя. </w:t>
      </w:r>
    </w:p>
    <w:p w:rsidR="00000000" w:rsidDel="00000000" w:rsidP="00000000" w:rsidRDefault="00000000" w:rsidRPr="00000000" w14:paraId="0000003F">
      <w:pPr>
        <w:pStyle w:val="Title"/>
        <w:spacing w:line="240" w:lineRule="auto"/>
        <w:ind w:left="-709" w:firstLine="0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Претензия должна быть оформлена в письменном виде с указанием причины, вызвавшей необходимость подобного обращения, и подписана     Пациентом. </w:t>
      </w:r>
    </w:p>
    <w:p w:rsidR="00000000" w:rsidDel="00000000" w:rsidP="00000000" w:rsidRDefault="00000000" w:rsidRPr="00000000" w14:paraId="00000040">
      <w:pPr>
        <w:pStyle w:val="Title"/>
        <w:numPr>
          <w:ilvl w:val="1"/>
          <w:numId w:val="2"/>
        </w:numPr>
        <w:spacing w:line="240" w:lineRule="auto"/>
        <w:ind w:left="-714" w:hanging="420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Исполнитель обязан в течение 7 (Семи) дней с момента получения претензии рассмотреть ее и предоставить Пациенту мотивированный ответ.</w:t>
      </w:r>
    </w:p>
    <w:p w:rsidR="00000000" w:rsidDel="00000000" w:rsidP="00000000" w:rsidRDefault="00000000" w:rsidRPr="00000000" w14:paraId="00000041">
      <w:pPr>
        <w:pStyle w:val="Title"/>
        <w:numPr>
          <w:ilvl w:val="1"/>
          <w:numId w:val="2"/>
        </w:numPr>
        <w:spacing w:line="240" w:lineRule="auto"/>
        <w:ind w:left="-714" w:hanging="420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В случае если результаты рассмотрения претензии не позволят Сторонам прийти к определенному решению по спорному вопросу, Стороны обращаются к специалистам-экспертам для проведения независимой медицинской экспертизы. Указанная экспертиза проводится за счет Пациента.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40" w:lineRule="auto"/>
        <w:ind w:left="-714" w:right="-1050" w:hanging="4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случае если претензионный порядок и независимая медицинская экспертиза не позволили Сторонам достигнуть договоренности, споры и разногласия, возникшие между Пациентом и Исполнителем, подлежат рассмотрению в судебном порядке в соответствии с законодательством Российской Федерации.</w:t>
      </w:r>
    </w:p>
    <w:p w:rsidR="00000000" w:rsidDel="00000000" w:rsidP="00000000" w:rsidRDefault="00000000" w:rsidRPr="00000000" w14:paraId="00000043">
      <w:pPr>
        <w:spacing w:line="240" w:lineRule="auto"/>
        <w:ind w:left="-714" w:right="-105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line="240" w:lineRule="auto"/>
        <w:ind w:hanging="1134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8. Прочие условия.</w:t>
      </w:r>
    </w:p>
    <w:p w:rsidR="00000000" w:rsidDel="00000000" w:rsidP="00000000" w:rsidRDefault="00000000" w:rsidRPr="00000000" w14:paraId="00000045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8.1.   Срок гарантии на стоматологические услуги по настоящему Договору составляет  1 год  с момента оказания соответствующей услуги при условии прохождения Пациентом профилактического осмотра у Исполнителя два раза в течение гарантийного срока, установленного настоящим пунктом. </w:t>
      </w:r>
    </w:p>
    <w:p w:rsidR="00000000" w:rsidDel="00000000" w:rsidP="00000000" w:rsidRDefault="00000000" w:rsidRPr="00000000" w14:paraId="00000046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8.2.  Все изменения, дополнения и иные документы, составляемые на основании и во исполнение настоящего Договора, будут действительны при условии, если они совершены в письменной форме и подписаны обеими Сторонами настоящего Договора.</w:t>
      </w:r>
    </w:p>
    <w:p w:rsidR="00000000" w:rsidDel="00000000" w:rsidP="00000000" w:rsidRDefault="00000000" w:rsidRPr="00000000" w14:paraId="00000047">
      <w:pPr>
        <w:pStyle w:val="Title"/>
        <w:spacing w:line="240" w:lineRule="auto"/>
        <w:ind w:left="-709" w:hanging="425"/>
        <w:jc w:val="both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8.3.   Взаимоотношения Сторон, не урегулированные настоящим Договором, регламентируются действующим законодательством РФ.</w:t>
      </w:r>
    </w:p>
    <w:p w:rsidR="00000000" w:rsidDel="00000000" w:rsidP="00000000" w:rsidRDefault="00000000" w:rsidRPr="00000000" w14:paraId="00000048">
      <w:pPr>
        <w:pStyle w:val="Title"/>
        <w:ind w:left="-708.6614173228347" w:hanging="425.19685039370074"/>
        <w:jc w:val="both"/>
        <w:rPr>
          <w:b w:val="0"/>
          <w:sz w:val="16"/>
          <w:szCs w:val="16"/>
        </w:rPr>
      </w:pPr>
      <w:bookmarkStart w:colFirst="0" w:colLast="0" w:name="_heading=h.8rkb0lmvd10" w:id="1"/>
      <w:bookmarkEnd w:id="1"/>
      <w:r w:rsidDel="00000000" w:rsidR="00000000" w:rsidRPr="00000000">
        <w:rPr>
          <w:b w:val="0"/>
          <w:sz w:val="16"/>
          <w:szCs w:val="16"/>
          <w:rtl w:val="0"/>
        </w:rPr>
        <w:t xml:space="preserve">8.4.   Настоящий Договор составлен в 2-х экземплярах, по одному экземпляру для каждой из Сторон.222222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line="240" w:lineRule="auto"/>
        <w:ind w:left="0" w:firstLine="0"/>
        <w:jc w:val="both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spacing w:line="240" w:lineRule="auto"/>
        <w:ind w:left="-774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9. Адреса, реквизиты и подписи Сторон:</w:t>
      </w:r>
    </w:p>
    <w:p w:rsidR="00000000" w:rsidDel="00000000" w:rsidP="00000000" w:rsidRDefault="00000000" w:rsidRPr="00000000" w14:paraId="0000004C">
      <w:pPr>
        <w:pStyle w:val="Title"/>
        <w:spacing w:line="240" w:lineRule="auto"/>
        <w:ind w:lef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134.0" w:type="dxa"/>
        <w:tblLayout w:type="fixed"/>
        <w:tblLook w:val="00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pStyle w:val="Title"/>
              <w:spacing w:line="240" w:lineRule="auto"/>
              <w:ind w:lef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Исполнитель</w:t>
              <w:tab/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Title"/>
              <w:spacing w:line="240" w:lineRule="auto"/>
              <w:ind w:lef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Пациент</w:t>
            </w:r>
          </w:p>
        </w:tc>
      </w:tr>
      <w:tr>
        <w:trPr>
          <w:trHeight w:val="2498.7890625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pStyle w:val="Title"/>
              <w:spacing w:line="240" w:lineRule="auto"/>
              <w:ind w:left="0" w:righ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ООО «САНАДЕНТ»</w:t>
              <w:tab/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Юридический адрес: 690091, Приморский край, Владивосток г, Авроровская ул., дом № 17, офис 22  </w:t>
            </w:r>
          </w:p>
          <w:p w:rsidR="00000000" w:rsidDel="00000000" w:rsidP="00000000" w:rsidRDefault="00000000" w:rsidRPr="00000000" w14:paraId="00000051">
            <w:pPr>
              <w:pStyle w:val="Title"/>
              <w:spacing w:line="240" w:lineRule="auto"/>
              <w:ind w:left="0" w:righ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Фактический адрес: 690091, Приморский край, Владивосток г, Авроровская ул., дом № 17, офис 22</w:t>
            </w:r>
          </w:p>
          <w:p w:rsidR="00000000" w:rsidDel="00000000" w:rsidP="00000000" w:rsidRDefault="00000000" w:rsidRPr="00000000" w14:paraId="00000052">
            <w:pPr>
              <w:pStyle w:val="Title"/>
              <w:spacing w:line="240" w:lineRule="auto"/>
              <w:ind w:left="0" w:righ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ИНН 2543068936/ КПП 254001001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р/с 40702810650000012262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в ДАЛЬНЕВОСТОЧНЫЙ БАНК ОАО "СБЕРБАНК РОССИИ"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к/с 30101810600000000608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БИК 040813608</w:t>
            </w:r>
          </w:p>
          <w:p w:rsidR="00000000" w:rsidDel="00000000" w:rsidP="00000000" w:rsidRDefault="00000000" w:rsidRPr="00000000" w14:paraId="00000057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Ф.И.О.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${Familia} ${Name} ${Patronymic}</w:t>
            </w:r>
          </w:p>
          <w:p w:rsidR="00000000" w:rsidDel="00000000" w:rsidP="00000000" w:rsidRDefault="00000000" w:rsidRPr="00000000" w14:paraId="0000005B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Дата рождения: 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${DataBorn} </w:t>
            </w:r>
          </w:p>
          <w:p w:rsidR="00000000" w:rsidDel="00000000" w:rsidP="00000000" w:rsidRDefault="00000000" w:rsidRPr="00000000" w14:paraId="0000005C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Паспорт серии 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${Seria}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№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${Number}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выдан </w:t>
            </w:r>
            <w:r w:rsidDel="00000000" w:rsidR="00000000" w:rsidRPr="00000000">
              <w:rPr>
                <w:b w:val="0"/>
                <w:color w:val="333333"/>
                <w:sz w:val="16"/>
                <w:szCs w:val="16"/>
                <w:u w:val="single"/>
                <w:rtl w:val="0"/>
              </w:rPr>
              <w:t xml:space="preserve">${DataTaking}</w:t>
            </w:r>
            <w:r w:rsidDel="00000000" w:rsidR="00000000" w:rsidRPr="00000000">
              <w:rPr>
                <w:b w:val="0"/>
                <w:color w:val="333333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Кем: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${WhereTake}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Title"/>
              <w:spacing w:line="240" w:lineRule="auto"/>
              <w:ind w:left="0" w:righ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Место жительства: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г. ${FirstCity}, ул. ${FirstStreet}, ${FirstHouse}-${FirstFlat}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Тел.: </w:t>
            </w:r>
            <w:r w:rsidDel="00000000" w:rsidR="00000000" w:rsidRPr="00000000">
              <w:rPr>
                <w:b w:val="0"/>
                <w:sz w:val="16"/>
                <w:szCs w:val="16"/>
                <w:u w:val="single"/>
                <w:rtl w:val="0"/>
              </w:rPr>
              <w:t xml:space="preserve">${Phone}${AddPhone}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Title"/>
              <w:spacing w:line="240" w:lineRule="auto"/>
              <w:ind w:left="0" w:firstLine="0"/>
              <w:jc w:val="both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984375" w:hRule="atLeast"/>
        </w:trPr>
        <w:tc>
          <w:tcPr/>
          <w:p w:rsidR="00000000" w:rsidDel="00000000" w:rsidP="00000000" w:rsidRDefault="00000000" w:rsidRPr="00000000" w14:paraId="00000062">
            <w:pPr>
              <w:pStyle w:val="Title"/>
              <w:spacing w:line="240" w:lineRule="auto"/>
              <w:ind w:lef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Генеральный директор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Пациент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____________________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Цой Хак Бон/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________________________________/________________/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Title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284" w:top="284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Style w:val="Title"/>
      <w:spacing w:line="240" w:lineRule="auto"/>
      <w:ind w:left="-566.9291338582675" w:hanging="566.9291338582678"/>
      <w:jc w:val="both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Генеральный директор</w:t>
      <w:tab/>
      <w:tab/>
      <w:tab/>
      <w:tab/>
      <w:tab/>
      <w:tab/>
      <w:tab/>
      <w:tab/>
      <w:t xml:space="preserve">Пациент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134" w:right="-105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 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Цой Хак Бон/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    </w:t>
      <w:tab/>
      <w:tab/>
      <w:tab/>
      <w:t xml:space="preserve">_____________________ 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________________/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-774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-774" w:hanging="360"/>
      </w:pPr>
      <w:rPr/>
    </w:lvl>
    <w:lvl w:ilvl="1">
      <w:start w:val="1"/>
      <w:numFmt w:val="decimal"/>
      <w:lvlText w:val="%1.%2."/>
      <w:lvlJc w:val="left"/>
      <w:pPr>
        <w:ind w:left="-714" w:hanging="420"/>
      </w:pPr>
      <w:rPr/>
    </w:lvl>
    <w:lvl w:ilvl="2">
      <w:start w:val="1"/>
      <w:numFmt w:val="decimal"/>
      <w:lvlText w:val="%1.%2.%3."/>
      <w:lvlJc w:val="left"/>
      <w:pPr>
        <w:ind w:left="-414" w:hanging="720"/>
      </w:pPr>
      <w:rPr/>
    </w:lvl>
    <w:lvl w:ilvl="3">
      <w:start w:val="1"/>
      <w:numFmt w:val="decimal"/>
      <w:lvlText w:val="%1.%2.%3.%4."/>
      <w:lvlJc w:val="left"/>
      <w:pPr>
        <w:ind w:left="-414" w:hanging="720"/>
      </w:pPr>
      <w:rPr/>
    </w:lvl>
    <w:lvl w:ilvl="4">
      <w:start w:val="1"/>
      <w:numFmt w:val="decimal"/>
      <w:lvlText w:val="%1.%2.%3.%4.%5."/>
      <w:lvlJc w:val="left"/>
      <w:pPr>
        <w:ind w:left="-54" w:hanging="1080"/>
      </w:pPr>
      <w:rPr/>
    </w:lvl>
    <w:lvl w:ilvl="5">
      <w:start w:val="1"/>
      <w:numFmt w:val="decimal"/>
      <w:lvlText w:val="%1.%2.%3.%4.%5.%6."/>
      <w:lvlJc w:val="left"/>
      <w:pPr>
        <w:ind w:left="-54" w:hanging="1080"/>
      </w:pPr>
      <w:rPr/>
    </w:lvl>
    <w:lvl w:ilvl="6">
      <w:start w:val="1"/>
      <w:numFmt w:val="decimal"/>
      <w:lvlText w:val="%1.%2.%3.%4.%5.%6.%7."/>
      <w:lvlJc w:val="left"/>
      <w:pPr>
        <w:ind w:left="306" w:hanging="1440"/>
      </w:pPr>
      <w:rPr/>
    </w:lvl>
    <w:lvl w:ilvl="7">
      <w:start w:val="1"/>
      <w:numFmt w:val="decimal"/>
      <w:lvlText w:val="%1.%2.%3.%4.%5.%6.%7.%8."/>
      <w:lvlJc w:val="left"/>
      <w:pPr>
        <w:ind w:left="306" w:hanging="1440"/>
      </w:pPr>
      <w:rPr/>
    </w:lvl>
    <w:lvl w:ilvl="8">
      <w:start w:val="1"/>
      <w:numFmt w:val="decimal"/>
      <w:lvlText w:val="%1.%2.%3.%4.%5.%6.%7.%8.%9."/>
      <w:lvlJc w:val="left"/>
      <w:pPr>
        <w:ind w:left="666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774" w:hanging="360"/>
      </w:pPr>
      <w:rPr/>
    </w:lvl>
    <w:lvl w:ilvl="1">
      <w:start w:val="1"/>
      <w:numFmt w:val="decimal"/>
      <w:lvlText w:val="%1.%2."/>
      <w:lvlJc w:val="left"/>
      <w:pPr>
        <w:ind w:left="-774" w:hanging="360"/>
      </w:pPr>
      <w:rPr/>
    </w:lvl>
    <w:lvl w:ilvl="2">
      <w:start w:val="1"/>
      <w:numFmt w:val="decimal"/>
      <w:lvlText w:val="%1.%2.%3."/>
      <w:lvlJc w:val="left"/>
      <w:pPr>
        <w:ind w:left="-414" w:hanging="720"/>
      </w:pPr>
      <w:rPr/>
    </w:lvl>
    <w:lvl w:ilvl="3">
      <w:start w:val="1"/>
      <w:numFmt w:val="decimal"/>
      <w:lvlText w:val="%1.%2.%3.%4."/>
      <w:lvlJc w:val="left"/>
      <w:pPr>
        <w:ind w:left="-414" w:hanging="720"/>
      </w:pPr>
      <w:rPr/>
    </w:lvl>
    <w:lvl w:ilvl="4">
      <w:start w:val="1"/>
      <w:numFmt w:val="decimal"/>
      <w:lvlText w:val="%1.%2.%3.%4.%5."/>
      <w:lvlJc w:val="left"/>
      <w:pPr>
        <w:ind w:left="-54" w:hanging="1080"/>
      </w:pPr>
      <w:rPr/>
    </w:lvl>
    <w:lvl w:ilvl="5">
      <w:start w:val="1"/>
      <w:numFmt w:val="decimal"/>
      <w:lvlText w:val="%1.%2.%3.%4.%5.%6."/>
      <w:lvlJc w:val="left"/>
      <w:pPr>
        <w:ind w:left="-54" w:hanging="1080"/>
      </w:pPr>
      <w:rPr/>
    </w:lvl>
    <w:lvl w:ilvl="6">
      <w:start w:val="1"/>
      <w:numFmt w:val="decimal"/>
      <w:lvlText w:val="%1.%2.%3.%4.%5.%6.%7."/>
      <w:lvlJc w:val="left"/>
      <w:pPr>
        <w:ind w:left="306" w:hanging="1440"/>
      </w:pPr>
      <w:rPr/>
    </w:lvl>
    <w:lvl w:ilvl="7">
      <w:start w:val="1"/>
      <w:numFmt w:val="decimal"/>
      <w:lvlText w:val="%1.%2.%3.%4.%5.%6.%7.%8."/>
      <w:lvlJc w:val="left"/>
      <w:pPr>
        <w:ind w:left="306" w:hanging="1440"/>
      </w:pPr>
      <w:rPr/>
    </w:lvl>
    <w:lvl w:ilvl="8">
      <w:start w:val="1"/>
      <w:numFmt w:val="decimal"/>
      <w:lvlText w:val="%1.%2.%3.%4.%5.%6.%7.%8.%9."/>
      <w:lvlJc w:val="left"/>
      <w:pPr>
        <w:ind w:left="666" w:hanging="180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-774" w:hanging="360"/>
      </w:pPr>
      <w:rPr/>
    </w:lvl>
    <w:lvl w:ilvl="1">
      <w:start w:val="1"/>
      <w:numFmt w:val="decimal"/>
      <w:lvlText w:val="%1.%2."/>
      <w:lvlJc w:val="left"/>
      <w:pPr>
        <w:ind w:left="-714" w:hanging="420"/>
      </w:pPr>
      <w:rPr/>
    </w:lvl>
    <w:lvl w:ilvl="2">
      <w:start w:val="1"/>
      <w:numFmt w:val="decimal"/>
      <w:lvlText w:val="%1.%2.%3."/>
      <w:lvlJc w:val="left"/>
      <w:pPr>
        <w:ind w:left="-414" w:hanging="720"/>
      </w:pPr>
      <w:rPr/>
    </w:lvl>
    <w:lvl w:ilvl="3">
      <w:start w:val="1"/>
      <w:numFmt w:val="decimal"/>
      <w:lvlText w:val="%1.%2.%3.%4."/>
      <w:lvlJc w:val="left"/>
      <w:pPr>
        <w:ind w:left="-414" w:hanging="720"/>
      </w:pPr>
      <w:rPr/>
    </w:lvl>
    <w:lvl w:ilvl="4">
      <w:start w:val="1"/>
      <w:numFmt w:val="decimal"/>
      <w:lvlText w:val="%1.%2.%3.%4.%5."/>
      <w:lvlJc w:val="left"/>
      <w:pPr>
        <w:ind w:left="-54" w:hanging="1080"/>
      </w:pPr>
      <w:rPr/>
    </w:lvl>
    <w:lvl w:ilvl="5">
      <w:start w:val="1"/>
      <w:numFmt w:val="decimal"/>
      <w:lvlText w:val="%1.%2.%3.%4.%5.%6."/>
      <w:lvlJc w:val="left"/>
      <w:pPr>
        <w:ind w:left="-54" w:hanging="1080"/>
      </w:pPr>
      <w:rPr/>
    </w:lvl>
    <w:lvl w:ilvl="6">
      <w:start w:val="1"/>
      <w:numFmt w:val="decimal"/>
      <w:lvlText w:val="%1.%2.%3.%4.%5.%6.%7."/>
      <w:lvlJc w:val="left"/>
      <w:pPr>
        <w:ind w:left="306" w:hanging="1440"/>
      </w:pPr>
      <w:rPr/>
    </w:lvl>
    <w:lvl w:ilvl="7">
      <w:start w:val="1"/>
      <w:numFmt w:val="decimal"/>
      <w:lvlText w:val="%1.%2.%3.%4.%5.%6.%7.%8."/>
      <w:lvlJc w:val="left"/>
      <w:pPr>
        <w:ind w:left="306" w:hanging="1440"/>
      </w:pPr>
      <w:rPr/>
    </w:lvl>
    <w:lvl w:ilvl="8">
      <w:start w:val="1"/>
      <w:numFmt w:val="decimal"/>
      <w:lvlText w:val="%1.%2.%3.%4.%5.%6.%7.%8.%9."/>
      <w:lvlJc w:val="left"/>
      <w:pPr>
        <w:ind w:left="666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-1134" w:right="-1050"/>
      <w:jc w:val="center"/>
    </w:pPr>
    <w:rPr>
      <w:b w:val="1"/>
      <w:sz w:val="24"/>
      <w:szCs w:val="24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qFormat w:val="1"/>
    <w:pPr>
      <w:ind w:left="-1134" w:right="-1050"/>
      <w:jc w:val="center"/>
    </w:pPr>
    <w:rPr>
      <w:b w:val="1"/>
      <w:sz w:val="24"/>
    </w:rPr>
  </w:style>
  <w:style w:type="paragraph" w:styleId="a4">
    <w:name w:val="Block Text"/>
    <w:basedOn w:val="a"/>
    <w:semiHidden w:val="1"/>
    <w:pPr>
      <w:ind w:left="-1134" w:right="-1050"/>
      <w:jc w:val="both"/>
    </w:pPr>
    <w:rPr>
      <w:sz w:val="24"/>
    </w:rPr>
  </w:style>
  <w:style w:type="paragraph" w:styleId="a5">
    <w:name w:val="caption"/>
    <w:basedOn w:val="a"/>
    <w:qFormat w:val="1"/>
    <w:pPr>
      <w:ind w:left="-1134" w:right="-1050"/>
      <w:jc w:val="center"/>
    </w:pPr>
    <w:rPr>
      <w:b w:val="1"/>
      <w:sz w:val="24"/>
    </w:rPr>
  </w:style>
  <w:style w:type="paragraph" w:styleId="a6">
    <w:name w:val="Body Text"/>
    <w:basedOn w:val="a"/>
    <w:semiHidden w:val="1"/>
    <w:pPr>
      <w:jc w:val="both"/>
    </w:pPr>
    <w:rPr>
      <w:sz w:val="24"/>
    </w:rPr>
  </w:style>
  <w:style w:type="paragraph" w:styleId="a7">
    <w:name w:val="Body Text Indent"/>
    <w:basedOn w:val="a"/>
    <w:semiHidden w:val="1"/>
    <w:pPr>
      <w:ind w:firstLine="709"/>
      <w:jc w:val="both"/>
    </w:pPr>
    <w:rPr>
      <w:sz w:val="24"/>
    </w:rPr>
  </w:style>
  <w:style w:type="paragraph" w:styleId="a8">
    <w:name w:val="footer"/>
    <w:basedOn w:val="a"/>
    <w:semiHidden w:val="1"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 w:val="1"/>
  </w:style>
  <w:style w:type="paragraph" w:styleId="aa">
    <w:name w:val="Balloon Text"/>
    <w:basedOn w:val="a"/>
    <w:semiHidden w:val="1"/>
    <w:rPr>
      <w:rFonts w:ascii="Tahoma" w:cs="Tahoma" w:hAnsi="Tahoma"/>
      <w:sz w:val="16"/>
      <w:szCs w:val="16"/>
    </w:rPr>
  </w:style>
  <w:style w:type="paragraph" w:styleId="ab">
    <w:name w:val="header"/>
    <w:basedOn w:val="a"/>
    <w:link w:val="ac"/>
    <w:uiPriority w:val="99"/>
    <w:unhideWhenUsed w:val="1"/>
    <w:rsid w:val="00ED2086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uiPriority w:val="99"/>
    <w:rsid w:val="00ED20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PEJjEi4Q3qOg5mzV9w1iha7Sw==">AMUW2mWjypF0KkLkUX3AFmXzhvNsSn6IDmUxPTevBK6UgHTR4CSHI1/yDa+YXPizPVfsekv7Z2ddYfdAP8+YqWeL7c2kRBaBnFex1I4ZBHK44a8hwB2YQVwMBkceuw2soHQGfd8Ef3LUjGL8/MUDqSdmtkH/r0iV9w==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2021-04-04T15:13:00Z</dcterms:created>
  <dc:creator>Galina</dc:creator>
</cp:coreProperties>
</file>