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120" w:before="0"/>
        <w:jc w:val="center"/>
      </w:pPr>
      <w:r>
        <w:rPr>
          <w:rFonts w:ascii="Arial" w:cs="Arial" w:eastAsia="Arial" w:hAnsi="Arial"/>
          <w:b/>
          <w:bCs/>
          <w:color w:val="1E3D1E"/>
          <w:sz w:val="40"/>
          <w:szCs w:val="40"/>
        </w:rPr>
        <w:t xml:space="preserve">SITE ANALYSIS REPORT</w:t>
      </w:r>
    </w:p>
    <w:p>
      <w:pPr>
        <w:spacing w:after="120" w:before="120"/>
        <w:jc w:val="center"/>
      </w:pPr>
      <w:r>
        <w:rPr>
          <w:rFonts w:ascii="Arial" w:cs="Arial" w:eastAsia="Arial" w:hAnsi="Arial"/>
          <w:color w:val="2E6B2E"/>
          <w:sz w:val="32"/>
          <w:szCs w:val="32"/>
        </w:rPr>
        <w:t xml:space="preserve">30 Beaufort Street, Perth (Northbridge Centre)</w:t>
      </w:r>
    </w:p>
    <w:p>
      <w:pPr>
        <w:spacing w:after="60" w:before="60"/>
        <w:jc w:val="center"/>
      </w:pPr>
      <w:r>
        <w:rPr>
          <w:rFonts w:ascii="Arial" w:cs="Arial" w:eastAsia="Arial" w:hAnsi="Arial"/>
          <w:color w:val="555555"/>
          <w:sz w:val="24"/>
          <w:szCs w:val="24"/>
        </w:rPr>
        <w:t xml:space="preserve">Northbridge, Western Australia 6000</w:t>
      </w:r>
    </w:p>
    <w:p>
      <w:pPr>
        <w:spacing w:after="120" w:before="120"/>
      </w:pPr>
      <w:r>
        <w:t xml:space="preserve"/>
      </w:r>
    </w:p>
    <w:p>
      <w:pPr>
        <w:spacing w:after="60" w:before="60"/>
        <w:jc w:val="center"/>
      </w:pPr>
      <w:r>
        <w:rPr>
          <w:rFonts w:ascii="Arial" w:cs="Arial" w:eastAsia="Arial" w:hAnsi="Arial"/>
          <w:i/>
          <w:iCs/>
          <w:color w:val="555555"/>
          <w:sz w:val="22"/>
          <w:szCs w:val="22"/>
        </w:rPr>
        <w:t xml:space="preserve">Prepared for GPRTool Demonstration</w:t>
      </w:r>
    </w:p>
    <w:p>
      <w:pPr>
        <w:spacing w:after="60" w:before="60"/>
        <w:jc w:val="center"/>
      </w:pPr>
      <w:r>
        <w:rPr>
          <w:rFonts w:ascii="Arial" w:cs="Arial" w:eastAsia="Arial" w:hAnsi="Arial"/>
          <w:color w:val="555555"/>
          <w:sz w:val="22"/>
          <w:szCs w:val="22"/>
        </w:rPr>
        <w:t xml:space="preserve">Green Plot Ratio (GPR) Analysis | March 2026</w:t>
      </w:r>
    </w:p>
    <w:p>
      <w:pPr>
        <w:spacing w:after="120" w:before="120"/>
      </w:pPr>
      <w:r>
        <w:t xml:space="preserve"/>
      </w:r>
    </w:p>
    <w:p>
      <w:pPr>
        <w:spacing w:after="120" w:before="120"/>
      </w:pPr>
      <w:r>
        <w:t xml:space="preserve"/>
      </w:r>
    </w:p>
    <w:p>
      <w:pPr>
        <w:spacing w:after="60" w:before="60"/>
      </w:pPr>
      <w:r>
        <w:rPr>
          <w:rFonts w:ascii="Arial" w:cs="Arial" w:eastAsia="Arial" w:hAnsi="Arial"/>
          <w:i/>
          <w:iCs/>
          <w:color w:val="555555"/>
          <w:sz w:val="20"/>
          <w:szCs w:val="20"/>
        </w:rPr>
        <w:t xml:space="preserve">NOTE: This report is prepared as a demonstration of the GPRTool site analysis workflow. All planning data is sourced from publicly available documents and should be verified against current City of Perth records before use in any formal development application.</w:t>
      </w:r>
    </w:p>
    <w:p>
      <w:r>
        <w:br w:type="page"/>
      </w:r>
    </w:p>
    <w:p>
      <w:pPr>
        <w:pStyle w:val="Heading1"/>
        <w:pBdr>
          <w:bottom w:val="single" w:color="2E6B2E" w:sz="6" w:space="1"/>
        </w:pBdr>
        <w:spacing w:after="120" w:before="360"/>
      </w:pPr>
      <w:r>
        <w:rPr>
          <w:rFonts w:ascii="Arial" w:cs="Arial" w:eastAsia="Arial" w:hAnsi="Arial"/>
          <w:b/>
          <w:bCs/>
          <w:color w:val="1E3D1E"/>
          <w:sz w:val="32"/>
          <w:szCs w:val="32"/>
        </w:rPr>
        <w:t xml:space="preserve">1. Executive Summary</w:t>
      </w:r>
    </w:p>
    <w:p>
      <w:pPr>
        <w:spacing w:after="120" w:before="60"/>
      </w:pPr>
      <w:r>
        <w:rPr>
          <w:rFonts w:ascii="Arial" w:cs="Arial" w:eastAsia="Arial" w:hAnsi="Arial"/>
          <w:sz w:val="22"/>
          <w:szCs w:val="22"/>
        </w:rPr>
        <w:t xml:space="preserve">This report presents a site analysis for 30 Beaufort Street, Perth (known as the Northbridge Centre), a large-format commercial block occupying an entire city block bounded by Beaufort Street, James Street, Stirling Street, and Roe Street in Northbridge, Western Australia. The site is assessed as a candidate for high-density mixed-use redevelopment, with particular attention to the Green Plot Ratio (GPR) methodology as a planning metric for three-dimensional urban greenery.</w:t>
      </w:r>
    </w:p>
    <w:p>
      <w:pPr>
        <w:spacing w:after="120" w:before="60"/>
      </w:pPr>
      <w:r>
        <w:rPr>
          <w:rFonts w:ascii="Arial" w:cs="Arial" w:eastAsia="Arial" w:hAnsi="Arial"/>
          <w:sz w:val="22"/>
          <w:szCs w:val="22"/>
        </w:rPr>
        <w:t xml:space="preserve">The site represents one of the largest single-ownership development opportunities remaining in the Perth inner city, with a land area of approximately 9,579 m² and four street frontages. Under the draft Local Planning Scheme No. 3 (LPS3), the site is positioned for high-scale mixed-use development of up to and beyond 16 storeys, with a potential gross floor area (GFA) of approximately 100,000 m² subject to planning approval.</w:t>
      </w:r>
    </w:p>
    <w:p>
      <w:pPr>
        <w:spacing w:after="120" w:before="60"/>
      </w:pPr>
      <w:r>
        <w:rPr>
          <w:rFonts w:ascii="Arial" w:cs="Arial" w:eastAsia="Arial" w:hAnsi="Arial"/>
          <w:sz w:val="22"/>
          <w:szCs w:val="22"/>
        </w:rPr>
        <w:t xml:space="preserve">This analysis covers site context, planning framework, development potential, sustainability requirements, and Green Plot Ratio considerations relevant to the design and assessment of a future development.</w:t>
      </w:r>
    </w:p>
    <w:p>
      <w:pPr>
        <w:spacing w:after="120" w:before="120"/>
      </w:pPr>
      <w:r>
        <w:t xml:space="preserve"/>
      </w:r>
    </w:p>
    <w:p>
      <w:pPr>
        <w:pStyle w:val="Heading1"/>
        <w:pBdr>
          <w:bottom w:val="single" w:color="2E6B2E" w:sz="6" w:space="1"/>
        </w:pBdr>
        <w:spacing w:after="120" w:before="360"/>
      </w:pPr>
      <w:r>
        <w:rPr>
          <w:rFonts w:ascii="Arial" w:cs="Arial" w:eastAsia="Arial" w:hAnsi="Arial"/>
          <w:b/>
          <w:bCs/>
          <w:color w:val="1E3D1E"/>
          <w:sz w:val="32"/>
          <w:szCs w:val="32"/>
        </w:rPr>
        <w:t xml:space="preserve">2. Site Description</w:t>
      </w:r>
    </w:p>
    <w:p>
      <w:pPr>
        <w:pStyle w:val="Heading2"/>
        <w:spacing w:after="80" w:before="240"/>
      </w:pPr>
      <w:r>
        <w:rPr>
          <w:rFonts w:ascii="Arial" w:cs="Arial" w:eastAsia="Arial" w:hAnsi="Arial"/>
          <w:b/>
          <w:bCs/>
          <w:color w:val="2E6B2E"/>
          <w:sz w:val="26"/>
          <w:szCs w:val="26"/>
        </w:rPr>
        <w:t xml:space="preserve">2.1 Location and Context</w:t>
      </w:r>
    </w:p>
    <w:p>
      <w:pPr>
        <w:spacing w:after="120" w:before="60"/>
      </w:pPr>
      <w:r>
        <w:rPr>
          <w:rFonts w:ascii="Arial" w:cs="Arial" w:eastAsia="Arial" w:hAnsi="Arial"/>
          <w:sz w:val="22"/>
          <w:szCs w:val="22"/>
        </w:rPr>
        <w:t xml:space="preserve">The site is located at 30 Beaufort Street, Perth, in the suburb of Northbridge immediately north of the Perth Central Business District. It occupies a complete city block defined by:</w:t>
      </w:r>
    </w:p>
    <w:p>
      <w:pPr>
        <w:pStyle w:val="ListParagraph"/>
        <w:numPr>
          <w:ilvl w:val="0"/>
          <w:numId w:val="2"/>
        </w:numPr>
        <w:spacing w:after="40" w:before="40"/>
      </w:pPr>
      <w:r>
        <w:rPr>
          <w:rFonts w:ascii="Arial" w:cs="Arial" w:eastAsia="Arial" w:hAnsi="Arial"/>
          <w:sz w:val="22"/>
          <w:szCs w:val="22"/>
        </w:rPr>
        <w:t xml:space="preserve">North: James Street</w:t>
      </w:r>
    </w:p>
    <w:p>
      <w:pPr>
        <w:pStyle w:val="ListParagraph"/>
        <w:numPr>
          <w:ilvl w:val="0"/>
          <w:numId w:val="2"/>
        </w:numPr>
        <w:spacing w:after="40" w:before="40"/>
      </w:pPr>
      <w:r>
        <w:rPr>
          <w:rFonts w:ascii="Arial" w:cs="Arial" w:eastAsia="Arial" w:hAnsi="Arial"/>
          <w:sz w:val="22"/>
          <w:szCs w:val="22"/>
        </w:rPr>
        <w:t xml:space="preserve">West: Beaufort Street</w:t>
      </w:r>
    </w:p>
    <w:p>
      <w:pPr>
        <w:pStyle w:val="ListParagraph"/>
        <w:numPr>
          <w:ilvl w:val="0"/>
          <w:numId w:val="2"/>
        </w:numPr>
        <w:spacing w:after="40" w:before="40"/>
      </w:pPr>
      <w:r>
        <w:rPr>
          <w:rFonts w:ascii="Arial" w:cs="Arial" w:eastAsia="Arial" w:hAnsi="Arial"/>
          <w:sz w:val="22"/>
          <w:szCs w:val="22"/>
        </w:rPr>
        <w:t xml:space="preserve">South: Roe Street</w:t>
      </w:r>
    </w:p>
    <w:p>
      <w:pPr>
        <w:pStyle w:val="ListParagraph"/>
        <w:numPr>
          <w:ilvl w:val="0"/>
          <w:numId w:val="2"/>
        </w:numPr>
        <w:spacing w:after="40" w:before="40"/>
      </w:pPr>
      <w:r>
        <w:rPr>
          <w:rFonts w:ascii="Arial" w:cs="Arial" w:eastAsia="Arial" w:hAnsi="Arial"/>
          <w:sz w:val="22"/>
          <w:szCs w:val="22"/>
        </w:rPr>
        <w:t xml:space="preserve">East: Stirling Street</w:t>
      </w:r>
    </w:p>
    <w:p>
      <w:pPr>
        <w:spacing w:after="120" w:before="120"/>
      </w:pPr>
      <w:r>
        <w:t xml:space="preserve"/>
      </w:r>
    </w:p>
    <w:p>
      <w:pPr>
        <w:spacing w:after="120" w:before="60"/>
      </w:pPr>
      <w:r>
        <w:rPr>
          <w:rFonts w:ascii="Arial" w:cs="Arial" w:eastAsia="Arial" w:hAnsi="Arial"/>
          <w:sz w:val="22"/>
          <w:szCs w:val="22"/>
        </w:rPr>
        <w:t xml:space="preserve">The site is approximately 450 metres north of Perth Railway Station and is accessible via the Perth Busport, CAT bus services, and multiple major arterial roads. It sits at the intersection of the Northbridge entertainment and cultural precinct and the Perth City Link urban renewal corridor.</w:t>
      </w:r>
    </w:p>
    <w:p>
      <w:pPr>
        <w:pStyle w:val="Heading2"/>
        <w:spacing w:after="80" w:before="240"/>
      </w:pPr>
      <w:r>
        <w:rPr>
          <w:rFonts w:ascii="Arial" w:cs="Arial" w:eastAsia="Arial" w:hAnsi="Arial"/>
          <w:b/>
          <w:bCs/>
          <w:color w:val="2E6B2E"/>
          <w:sz w:val="26"/>
          <w:szCs w:val="26"/>
        </w:rPr>
        <w:t xml:space="preserve">2.2 Site Data</w:t>
      </w:r>
    </w:p>
    <w:p>
      <w:pP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500"/>
            <w:tcBorders>
              <w:top w:val="single" w:color="CCCCCC" w:sz="1"/>
              <w:left w:val="single" w:color="CCCCCC" w:sz="1"/>
              <w:bottom w:val="single" w:color="CCCCCC" w:sz="1"/>
              <w:right w:val="single" w:color="CCCCCC"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Address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 Beaufort Street, Perth WA 6000</w:t>
            </w:r>
          </w:p>
        </w:tc>
      </w:tr>
      <w:tr>
        <w:trPr>
          <w:tblHeader w:val="false"/>
        </w:trP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Common Name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Northbridge Centre</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Land Area (approx.)</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9,579 m²</w:t>
            </w:r>
          </w:p>
        </w:tc>
      </w:tr>
      <w:tr>
        <w:trPr>
          <w:tblHeader w:val="false"/>
        </w:trP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Street Frontages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4 (Beaufort, James, Stirling, Roe)</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Current Use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Low-rise retail/commercial centre</w:t>
            </w:r>
          </w:p>
        </w:tc>
      </w:tr>
      <w:tr>
        <w:trPr>
          <w:tblHeader w:val="false"/>
        </w:trP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Suburb</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Northbridge / Perth</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Local Government Area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City of Perth</w:t>
            </w:r>
          </w:p>
        </w:tc>
      </w:tr>
      <w:tr>
        <w:trPr>
          <w:tblHeader w:val="false"/>
        </w:trP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Western Australia</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Cadastral Data Source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Landgate SLIP (WA Land Titles Register)</w:t>
            </w:r>
          </w:p>
        </w:tc>
      </w:tr>
      <w:tr>
        <w:trPr>
          <w:tblHeader w:val="false"/>
        </w:trP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Coordinate System</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GDA2020 / GeoJSON WGS84</w:t>
            </w:r>
          </w:p>
        </w:tc>
      </w:tr>
    </w:tbl>
    <w:p>
      <w:pPr>
        <w:spacing w:after="120" w:before="120"/>
      </w:pPr>
      <w:r>
        <w:t xml:space="preserve"/>
      </w:r>
    </w:p>
    <w:p>
      <w:pPr>
        <w:pStyle w:val="Heading2"/>
        <w:spacing w:after="80" w:before="240"/>
      </w:pPr>
      <w:r>
        <w:rPr>
          <w:rFonts w:ascii="Arial" w:cs="Arial" w:eastAsia="Arial" w:hAnsi="Arial"/>
          <w:b/>
          <w:bCs/>
          <w:color w:val="2E6B2E"/>
          <w:sz w:val="26"/>
          <w:szCs w:val="26"/>
        </w:rPr>
        <w:t xml:space="preserve">2.3 Surrounding Context</w:t>
      </w:r>
    </w:p>
    <w:p>
      <w:pPr>
        <w:spacing w:after="120" w:before="60"/>
      </w:pPr>
      <w:r>
        <w:rPr>
          <w:rFonts w:ascii="Arial" w:cs="Arial" w:eastAsia="Arial" w:hAnsi="Arial"/>
          <w:sz w:val="22"/>
          <w:szCs w:val="22"/>
        </w:rPr>
        <w:t xml:space="preserve">The site occupies a strategically significant location within one of Perth's most active urban renewal zones. Key surrounding landmarks and developments include:</w:t>
      </w:r>
    </w:p>
    <w:p>
      <w:pPr>
        <w:pStyle w:val="ListParagraph"/>
        <w:numPr>
          <w:ilvl w:val="0"/>
          <w:numId w:val="2"/>
        </w:numPr>
        <w:spacing w:after="40" w:before="40"/>
      </w:pPr>
      <w:r>
        <w:rPr>
          <w:rFonts w:ascii="Arial" w:cs="Arial" w:eastAsia="Arial" w:hAnsi="Arial"/>
          <w:sz w:val="22"/>
          <w:szCs w:val="22"/>
        </w:rPr>
        <w:t xml:space="preserve">Perth Railway Station and Perth Busport (south, ~450 m)</w:t>
      </w:r>
    </w:p>
    <w:p>
      <w:pPr>
        <w:pStyle w:val="ListParagraph"/>
        <w:numPr>
          <w:ilvl w:val="0"/>
          <w:numId w:val="2"/>
        </w:numPr>
        <w:spacing w:after="40" w:before="40"/>
      </w:pPr>
      <w:r>
        <w:rPr>
          <w:rFonts w:ascii="Arial" w:cs="Arial" w:eastAsia="Arial" w:hAnsi="Arial"/>
          <w:sz w:val="22"/>
          <w:szCs w:val="22"/>
        </w:rPr>
        <w:t xml:space="preserve">Edith Cowan University Perth CBD Campus (adjacent, completed 2025)</w:t>
      </w:r>
    </w:p>
    <w:p>
      <w:pPr>
        <w:pStyle w:val="ListParagraph"/>
        <w:numPr>
          <w:ilvl w:val="0"/>
          <w:numId w:val="2"/>
        </w:numPr>
        <w:spacing w:after="40" w:before="40"/>
      </w:pPr>
      <w:r>
        <w:rPr>
          <w:rFonts w:ascii="Arial" w:cs="Arial" w:eastAsia="Arial" w:hAnsi="Arial"/>
          <w:sz w:val="22"/>
          <w:szCs w:val="22"/>
        </w:rPr>
        <w:t xml:space="preserve">Yagan Square and Perth City Link urban renewal corridor (south)</w:t>
      </w:r>
    </w:p>
    <w:p>
      <w:pPr>
        <w:pStyle w:val="ListParagraph"/>
        <w:numPr>
          <w:ilvl w:val="0"/>
          <w:numId w:val="2"/>
        </w:numPr>
        <w:spacing w:after="40" w:before="40"/>
      </w:pPr>
      <w:r>
        <w:rPr>
          <w:rFonts w:ascii="Arial" w:cs="Arial" w:eastAsia="Arial" w:hAnsi="Arial"/>
          <w:sz w:val="22"/>
          <w:szCs w:val="22"/>
        </w:rPr>
        <w:t xml:space="preserve">Kings Square commercial precinct (south-west)</w:t>
      </w:r>
    </w:p>
    <w:p>
      <w:pPr>
        <w:pStyle w:val="ListParagraph"/>
        <w:numPr>
          <w:ilvl w:val="0"/>
          <w:numId w:val="2"/>
        </w:numPr>
        <w:spacing w:after="40" w:before="40"/>
      </w:pPr>
      <w:r>
        <w:rPr>
          <w:rFonts w:ascii="Arial" w:cs="Arial" w:eastAsia="Arial" w:hAnsi="Arial"/>
          <w:sz w:val="22"/>
          <w:szCs w:val="22"/>
        </w:rPr>
        <w:t xml:space="preserve">Perth Cultural Centre and WA Museum (east)</w:t>
      </w:r>
    </w:p>
    <w:p>
      <w:pPr>
        <w:pStyle w:val="ListParagraph"/>
        <w:numPr>
          <w:ilvl w:val="0"/>
          <w:numId w:val="2"/>
        </w:numPr>
        <w:spacing w:after="40" w:before="40"/>
      </w:pPr>
      <w:r>
        <w:rPr>
          <w:rFonts w:ascii="Arial" w:cs="Arial" w:eastAsia="Arial" w:hAnsi="Arial"/>
          <w:sz w:val="22"/>
          <w:szCs w:val="22"/>
        </w:rPr>
        <w:t xml:space="preserve">Northbridge entertainment and dining precinct (north and west)</w:t>
      </w:r>
    </w:p>
    <w:p>
      <w:pPr>
        <w:pStyle w:val="ListParagraph"/>
        <w:numPr>
          <w:ilvl w:val="0"/>
          <w:numId w:val="2"/>
        </w:numPr>
        <w:spacing w:after="40" w:before="40"/>
      </w:pPr>
      <w:r>
        <w:rPr>
          <w:rFonts w:ascii="Arial" w:cs="Arial" w:eastAsia="Arial" w:hAnsi="Arial"/>
          <w:sz w:val="22"/>
          <w:szCs w:val="22"/>
        </w:rPr>
        <w:t xml:space="preserve">RAC Arena (north-west, ~700 m)</w:t>
      </w:r>
    </w:p>
    <w:p>
      <w:pPr>
        <w:spacing w:after="120" w:before="60"/>
      </w:pPr>
      <w:r>
        <w:rPr>
          <w:rFonts w:ascii="Arial" w:cs="Arial" w:eastAsia="Arial" w:hAnsi="Arial"/>
          <w:sz w:val="22"/>
          <w:szCs w:val="22"/>
        </w:rPr>
        <w:t xml:space="preserve">The site currently accommodates a single-storey to low-rise retail centre of approximately 1980s vintage, substantially underutilising a site of this scale in a high-density, transit-accessible location.</w:t>
      </w:r>
    </w:p>
    <w:p>
      <w:r>
        <w:br w:type="page"/>
      </w:r>
    </w:p>
    <w:p>
      <w:pPr>
        <w:pStyle w:val="Heading1"/>
        <w:pBdr>
          <w:bottom w:val="single" w:color="2E6B2E" w:sz="6" w:space="1"/>
        </w:pBdr>
        <w:spacing w:after="120" w:before="360"/>
      </w:pPr>
      <w:r>
        <w:rPr>
          <w:rFonts w:ascii="Arial" w:cs="Arial" w:eastAsia="Arial" w:hAnsi="Arial"/>
          <w:b/>
          <w:bCs/>
          <w:color w:val="1E3D1E"/>
          <w:sz w:val="32"/>
          <w:szCs w:val="32"/>
        </w:rPr>
        <w:t xml:space="preserve">3. Planning Framework</w:t>
      </w:r>
    </w:p>
    <w:p>
      <w:pPr>
        <w:pStyle w:val="Heading2"/>
        <w:spacing w:after="80" w:before="240"/>
      </w:pPr>
      <w:r>
        <w:rPr>
          <w:rFonts w:ascii="Arial" w:cs="Arial" w:eastAsia="Arial" w:hAnsi="Arial"/>
          <w:b/>
          <w:bCs/>
          <w:color w:val="2E6B2E"/>
          <w:sz w:val="26"/>
          <w:szCs w:val="26"/>
        </w:rPr>
        <w:t xml:space="preserve">3.1 Current Planning Scheme: City Planning Scheme No. 2 (CPS2)</w:t>
      </w:r>
    </w:p>
    <w:p>
      <w:pPr>
        <w:spacing w:after="120" w:before="60"/>
      </w:pPr>
      <w:r>
        <w:rPr>
          <w:rFonts w:ascii="Arial" w:cs="Arial" w:eastAsia="Arial" w:hAnsi="Arial"/>
          <w:sz w:val="22"/>
          <w:szCs w:val="22"/>
        </w:rPr>
        <w:t xml:space="preserve">The site is currently governed by the City of Perth City Planning Scheme No. 2 (CPS2), which designates the site within the City Centre Scheme Use Area under Precinct Plan No. 1 — Northbridge. This is a discretionary planning framework rather than a prescriptive R-coded residential zone. No Residential Design Code (R-code) applies to this site.</w:t>
      </w:r>
    </w:p>
    <w:p>
      <w:pPr>
        <w:spacing w:after="120" w:before="60"/>
      </w:pPr>
      <w:r>
        <w:rPr>
          <w:rFonts w:ascii="Arial" w:cs="Arial" w:eastAsia="Arial" w:hAnsi="Arial"/>
          <w:sz w:val="22"/>
          <w:szCs w:val="22"/>
        </w:rPr>
        <w:t xml:space="preserve">Under Precinct Plan No. 1, the following planning intent applies:</w:t>
      </w:r>
    </w:p>
    <w:p>
      <w:pPr>
        <w:pStyle w:val="ListParagraph"/>
        <w:numPr>
          <w:ilvl w:val="0"/>
          <w:numId w:val="2"/>
        </w:numPr>
        <w:spacing w:after="40" w:before="40"/>
      </w:pPr>
      <w:r>
        <w:rPr>
          <w:rFonts w:ascii="Arial" w:cs="Arial" w:eastAsia="Arial" w:hAnsi="Arial"/>
          <w:sz w:val="22"/>
          <w:szCs w:val="22"/>
        </w:rPr>
        <w:t xml:space="preserve">Mixed use development is encouraged, combining entertainment, retail, accommodation, residential, and commercial uses</w:t>
      </w:r>
    </w:p>
    <w:p>
      <w:pPr>
        <w:pStyle w:val="ListParagraph"/>
        <w:numPr>
          <w:ilvl w:val="0"/>
          <w:numId w:val="2"/>
        </w:numPr>
        <w:spacing w:after="40" w:before="40"/>
      </w:pPr>
      <w:r>
        <w:rPr>
          <w:rFonts w:ascii="Arial" w:cs="Arial" w:eastAsia="Arial" w:hAnsi="Arial"/>
          <w:sz w:val="22"/>
          <w:szCs w:val="22"/>
        </w:rPr>
        <w:t xml:space="preserve">A higher scale of built form is explicitly permitted along the northern side of Roe Street to provide a transition in building height from the Perth City Link development</w:t>
      </w:r>
    </w:p>
    <w:p>
      <w:pPr>
        <w:pStyle w:val="ListParagraph"/>
        <w:numPr>
          <w:ilvl w:val="0"/>
          <w:numId w:val="2"/>
        </w:numPr>
        <w:spacing w:after="40" w:before="40"/>
      </w:pPr>
      <w:r>
        <w:rPr>
          <w:rFonts w:ascii="Arial" w:cs="Arial" w:eastAsia="Arial" w:hAnsi="Arial"/>
          <w:sz w:val="22"/>
          <w:szCs w:val="22"/>
        </w:rPr>
        <w:t xml:space="preserve">Nil street setback with active street frontages required at ground level</w:t>
      </w:r>
    </w:p>
    <w:p>
      <w:pPr>
        <w:pStyle w:val="ListParagraph"/>
        <w:numPr>
          <w:ilvl w:val="0"/>
          <w:numId w:val="2"/>
        </w:numPr>
        <w:spacing w:after="40" w:before="40"/>
      </w:pPr>
      <w:r>
        <w:rPr>
          <w:rFonts w:ascii="Arial" w:cs="Arial" w:eastAsia="Arial" w:hAnsi="Arial"/>
          <w:sz w:val="22"/>
          <w:szCs w:val="22"/>
        </w:rPr>
        <w:t xml:space="preserve">Building height must allow adequate solar access to key pedestrian streets (James and Francis Streets east of Russell Square)</w:t>
      </w:r>
    </w:p>
    <w:p>
      <w:pPr>
        <w:pStyle w:val="ListParagraph"/>
        <w:numPr>
          <w:ilvl w:val="0"/>
          <w:numId w:val="2"/>
        </w:numPr>
        <w:spacing w:after="40" w:before="40"/>
      </w:pPr>
      <w:r>
        <w:rPr>
          <w:rFonts w:ascii="Arial" w:cs="Arial" w:eastAsia="Arial" w:hAnsi="Arial"/>
          <w:sz w:val="22"/>
          <w:szCs w:val="22"/>
        </w:rPr>
        <w:t xml:space="preserve">Versatile building forms that are adaptable to changing uses are encouraged</w:t>
      </w:r>
    </w:p>
    <w:p>
      <w:pPr>
        <w:pStyle w:val="Heading2"/>
        <w:spacing w:after="80" w:before="240"/>
      </w:pPr>
      <w:r>
        <w:rPr>
          <w:rFonts w:ascii="Arial" w:cs="Arial" w:eastAsia="Arial" w:hAnsi="Arial"/>
          <w:b/>
          <w:bCs/>
          <w:color w:val="2E6B2E"/>
          <w:sz w:val="26"/>
          <w:szCs w:val="26"/>
        </w:rPr>
        <w:t xml:space="preserve">3.2 R-Code Status</w:t>
      </w:r>
    </w:p>
    <w:p>
      <w:pPr>
        <w:spacing w:after="120" w:before="60"/>
      </w:pPr>
      <w:r>
        <w:rPr>
          <w:rFonts w:ascii="Arial" w:cs="Arial" w:eastAsia="Arial" w:hAnsi="Arial"/>
          <w:sz w:val="22"/>
          <w:szCs w:val="22"/>
        </w:rPr>
        <w:t xml:space="preserve">No Residential Design Code (R-code) applies to this site. R-codes govern residential density in suburban zones throughout Western Australia but do not apply within the City Centre Scheme Use Area. Height, density and setback provisions are instead controlled by the CPS2 Maximum Building Height Plan and Precinct Plan No. 1, supplemented by discretionary design assessment.</w:t>
      </w:r>
    </w:p>
    <w:p>
      <w:pPr>
        <w:pStyle w:val="Heading2"/>
        <w:spacing w:after="80" w:before="240"/>
      </w:pPr>
      <w:r>
        <w:rPr>
          <w:rFonts w:ascii="Arial" w:cs="Arial" w:eastAsia="Arial" w:hAnsi="Arial"/>
          <w:b/>
          <w:bCs/>
          <w:color w:val="2E6B2E"/>
          <w:sz w:val="26"/>
          <w:szCs w:val="26"/>
        </w:rPr>
        <w:t xml:space="preserve">3.3 Draft Local Planning Scheme No. 3 (LPS3)</w:t>
      </w:r>
    </w:p>
    <w:p>
      <w:pPr>
        <w:spacing w:after="120" w:before="60"/>
      </w:pPr>
      <w:r>
        <w:rPr>
          <w:rFonts w:ascii="Arial" w:cs="Arial" w:eastAsia="Arial" w:hAnsi="Arial"/>
          <w:sz w:val="22"/>
          <w:szCs w:val="22"/>
        </w:rPr>
        <w:t xml:space="preserve">Draft LPS3 was approved by the City of Perth Council for advertising in April 2024 and has been forwarded to the Western Australian Planning Commission and the Minister for Planning for approval to advertise publicly. LPS3 is not yet gazetted and does not currently have legal force, but its provisions are a material planning consideration for long-term development planning.</w:t>
      </w:r>
    </w:p>
    <w:p>
      <w:pPr>
        <w:spacing w:after="120" w:before="60"/>
      </w:pPr>
      <w:r>
        <w:rPr>
          <w:rFonts w:ascii="Arial" w:cs="Arial" w:eastAsia="Arial" w:hAnsi="Arial"/>
          <w:sz w:val="22"/>
          <w:szCs w:val="22"/>
        </w:rPr>
        <w:t xml:space="preserve">Under draft LPS3, the site is identified for high-scale mixed-use development. Key provisions relevant to this site include:</w:t>
      </w:r>
    </w:p>
    <w:p>
      <w:pPr>
        <w:pStyle w:val="ListParagraph"/>
        <w:numPr>
          <w:ilvl w:val="0"/>
          <w:numId w:val="2"/>
        </w:numPr>
        <w:spacing w:after="40" w:before="40"/>
      </w:pPr>
      <w:r>
        <w:rPr>
          <w:rFonts w:ascii="Arial" w:cs="Arial" w:eastAsia="Arial" w:hAnsi="Arial"/>
          <w:sz w:val="22"/>
          <w:szCs w:val="22"/>
        </w:rPr>
        <w:t xml:space="preserve">Maximum base plot ratio of approximately 5.5:1, with potential bonus plot ratio provisions</w:t>
      </w:r>
    </w:p>
    <w:p>
      <w:pPr>
        <w:pStyle w:val="ListParagraph"/>
        <w:numPr>
          <w:ilvl w:val="0"/>
          <w:numId w:val="2"/>
        </w:numPr>
        <w:spacing w:after="40" w:before="40"/>
      </w:pPr>
      <w:r>
        <w:rPr>
          <w:rFonts w:ascii="Arial" w:cs="Arial" w:eastAsia="Arial" w:hAnsi="Arial"/>
          <w:sz w:val="22"/>
          <w:szCs w:val="22"/>
        </w:rPr>
        <w:t xml:space="preserve">Buildings of 16 storeys and above classified as 'High Scale' under the Local Planning Strategy</w:t>
      </w:r>
    </w:p>
    <w:p>
      <w:pPr>
        <w:pStyle w:val="ListParagraph"/>
        <w:numPr>
          <w:ilvl w:val="0"/>
          <w:numId w:val="2"/>
        </w:numPr>
        <w:spacing w:after="40" w:before="40"/>
      </w:pPr>
      <w:r>
        <w:rPr>
          <w:rFonts w:ascii="Arial" w:cs="Arial" w:eastAsia="Arial" w:hAnsi="Arial"/>
          <w:sz w:val="22"/>
          <w:szCs w:val="22"/>
        </w:rPr>
        <w:t xml:space="preserve">Potential GFA of approximately 100,000 m² subject to conditions and approval</w:t>
      </w:r>
    </w:p>
    <w:p>
      <w:pPr>
        <w:pStyle w:val="ListParagraph"/>
        <w:numPr>
          <w:ilvl w:val="0"/>
          <w:numId w:val="2"/>
        </w:numPr>
        <w:spacing w:after="40" w:before="40"/>
      </w:pPr>
      <w:r>
        <w:rPr>
          <w:rFonts w:ascii="Arial" w:cs="Arial" w:eastAsia="Arial" w:hAnsi="Arial"/>
          <w:sz w:val="22"/>
          <w:szCs w:val="22"/>
        </w:rPr>
        <w:t xml:space="preserve">Permitted land uses include residential, office, hotel, short-stay accommodation, and educational facilities</w:t>
      </w:r>
    </w:p>
    <w:p>
      <w:pPr>
        <w:pStyle w:val="ListParagraph"/>
        <w:numPr>
          <w:ilvl w:val="0"/>
          <w:numId w:val="2"/>
        </w:numPr>
        <w:spacing w:after="40" w:before="40"/>
      </w:pPr>
      <w:r>
        <w:rPr>
          <w:rFonts w:ascii="Arial" w:cs="Arial" w:eastAsia="Arial" w:hAnsi="Arial"/>
          <w:sz w:val="22"/>
          <w:szCs w:val="22"/>
        </w:rPr>
        <w:t xml:space="preserve">Draft Building Heights and Setbacks Local Planning Policy to be advertised concurrently with LPS3</w:t>
      </w:r>
    </w:p>
    <w:p>
      <w:pPr>
        <w:spacing w:after="120" w:before="120"/>
      </w:pPr>
      <w:r>
        <w:t xml:space="preserve"/>
      </w:r>
    </w:p>
    <w:p>
      <w:pPr>
        <w:spacing w:after="60" w:before="60"/>
      </w:pPr>
      <w:r>
        <w:rPr>
          <w:rFonts w:ascii="Arial" w:cs="Arial" w:eastAsia="Arial" w:hAnsi="Arial"/>
          <w:i/>
          <w:iCs/>
          <w:color w:val="555555"/>
          <w:sz w:val="20"/>
          <w:szCs w:val="20"/>
        </w:rPr>
        <w:t xml:space="preserve">Caution: LPS3 remains in draft form as of March 2026. All development proposals must be assessed against the current CPS2 unless and until LPS3 is gazetted. Early engagement with the City of Perth planning department is strongly recommended.</w:t>
      </w:r>
    </w:p>
    <w:p>
      <w:pPr>
        <w:pStyle w:val="Heading2"/>
        <w:spacing w:after="80" w:before="240"/>
      </w:pPr>
      <w:r>
        <w:rPr>
          <w:rFonts w:ascii="Arial" w:cs="Arial" w:eastAsia="Arial" w:hAnsi="Arial"/>
          <w:b/>
          <w:bCs/>
          <w:color w:val="2E6B2E"/>
          <w:sz w:val="26"/>
          <w:szCs w:val="26"/>
        </w:rPr>
        <w:t xml:space="preserve">3.4 Special Control Areas</w:t>
      </w:r>
    </w:p>
    <w:p>
      <w:pPr>
        <w:spacing w:after="60" w:before="180"/>
      </w:pPr>
      <w:r>
        <w:rPr>
          <w:rFonts w:ascii="Arial" w:cs="Arial" w:eastAsia="Arial" w:hAnsi="Arial"/>
          <w:b/>
          <w:bCs/>
          <w:color w:val="333333"/>
          <w:sz w:val="24"/>
          <w:szCs w:val="24"/>
        </w:rPr>
        <w:t xml:space="preserve">3.4.1 Northbridge Special Entertainment Precinct (Amendment 41)</w:t>
      </w:r>
    </w:p>
    <w:p>
      <w:pPr>
        <w:spacing w:after="120" w:before="60"/>
      </w:pPr>
      <w:r>
        <w:rPr>
          <w:rFonts w:ascii="Arial" w:cs="Arial" w:eastAsia="Arial" w:hAnsi="Arial"/>
          <w:sz w:val="22"/>
          <w:szCs w:val="22"/>
        </w:rPr>
        <w:t xml:space="preserve">Amendment No. 41 to CPS2 was gazetted in February 2026, establishing Special Control Area No. 28 — the Northbridge Special Entertainment Precinct. This amendment defines a Core area, a Frame area, and a Transition area, and introduces the following relevant provisions:</w:t>
      </w:r>
    </w:p>
    <w:p>
      <w:pPr>
        <w:pStyle w:val="ListParagraph"/>
        <w:numPr>
          <w:ilvl w:val="0"/>
          <w:numId w:val="2"/>
        </w:numPr>
        <w:spacing w:after="40" w:before="40"/>
      </w:pPr>
      <w:r>
        <w:rPr>
          <w:rFonts w:ascii="Arial" w:cs="Arial" w:eastAsia="Arial" w:hAnsi="Arial"/>
          <w:sz w:val="22"/>
          <w:szCs w:val="22"/>
        </w:rPr>
        <w:t xml:space="preserve">Precinct-wide maximum external noise levels: 90 dB(C) in the Core area, 79 dB(C) in the Frame</w:t>
      </w:r>
    </w:p>
    <w:p>
      <w:pPr>
        <w:pStyle w:val="ListParagraph"/>
        <w:numPr>
          <w:ilvl w:val="0"/>
          <w:numId w:val="2"/>
        </w:numPr>
        <w:spacing w:after="40" w:before="40"/>
      </w:pPr>
      <w:r>
        <w:rPr>
          <w:rFonts w:ascii="Arial" w:cs="Arial" w:eastAsia="Arial" w:hAnsi="Arial"/>
          <w:sz w:val="22"/>
          <w:szCs w:val="22"/>
        </w:rPr>
        <w:t xml:space="preserve">Acoustic attenuation standards for new entertainment venues and new residential and short-term accommodation</w:t>
      </w:r>
    </w:p>
    <w:p>
      <w:pPr>
        <w:pStyle w:val="ListParagraph"/>
        <w:numPr>
          <w:ilvl w:val="0"/>
          <w:numId w:val="2"/>
        </w:numPr>
        <w:spacing w:after="40" w:before="40"/>
      </w:pPr>
      <w:r>
        <w:rPr>
          <w:rFonts w:ascii="Arial" w:cs="Arial" w:eastAsia="Arial" w:hAnsi="Arial"/>
          <w:sz w:val="22"/>
          <w:szCs w:val="22"/>
        </w:rPr>
        <w:t xml:space="preserve">Restrictions on further permanent residential development in the Core area, with existing residential rights protected</w:t>
      </w:r>
    </w:p>
    <w:p>
      <w:pPr>
        <w:spacing w:after="120" w:before="60"/>
      </w:pPr>
      <w:r>
        <w:rPr>
          <w:rFonts w:ascii="Arial" w:cs="Arial" w:eastAsia="Arial" w:hAnsi="Arial"/>
          <w:sz w:val="22"/>
          <w:szCs w:val="22"/>
        </w:rPr>
        <w:t xml:space="preserve">The extent to which 30 Beaufort Street falls within the Core or Frame area should be confirmed with the City of Perth. If located within the Core, permanent residential uses may face restrictions, and the development program would need to emphasise hotel, office, or educational uses for upper floors.</w:t>
      </w:r>
    </w:p>
    <w:p>
      <w:pPr>
        <w:pStyle w:val="Heading2"/>
        <w:spacing w:after="80" w:before="240"/>
      </w:pPr>
      <w:r>
        <w:rPr>
          <w:rFonts w:ascii="Arial" w:cs="Arial" w:eastAsia="Arial" w:hAnsi="Arial"/>
          <w:b/>
          <w:bCs/>
          <w:color w:val="2E6B2E"/>
          <w:sz w:val="26"/>
          <w:szCs w:val="26"/>
        </w:rPr>
        <w:t xml:space="preserve">3.5 Metropolitan Region Scheme</w:t>
      </w:r>
    </w:p>
    <w:p>
      <w:pPr>
        <w:spacing w:after="120" w:before="60"/>
      </w:pPr>
      <w:r>
        <w:rPr>
          <w:rFonts w:ascii="Arial" w:cs="Arial" w:eastAsia="Arial" w:hAnsi="Arial"/>
          <w:sz w:val="22"/>
          <w:szCs w:val="22"/>
        </w:rPr>
        <w:t xml:space="preserve">Under the Western Australian Metropolitan Region Scheme (MRS), the site is zoned Urban, with no known reservations applying to the Beaufort/James/Stirling/Roe city block. The site falls within the City Centre Policy Area under State Planning Policy 4.2 (Activity Centres for Perth and Peel), which supports high-density mixed-use development at this location.</w:t>
      </w:r>
    </w:p>
    <w:p>
      <w:pPr>
        <w:spacing w:after="120" w:before="12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000"/>
        <w:gridCol w:w="3780"/>
        <w:gridCol w:w="1680"/>
      </w:tblGrid>
      <w:tr>
        <w:trPr>
          <w:tblHeader/>
        </w:trPr>
        <w:tc>
          <w:tcPr>
            <w:tcW w:type="dxa" w:w="3000"/>
            <w:tcBorders>
              <w:top w:val="single" w:color="CCCCCC" w:sz="1"/>
              <w:left w:val="single" w:color="CCCCCC" w:sz="1"/>
              <w:bottom w:val="single" w:color="CCCCCC" w:sz="1"/>
              <w:right w:val="single" w:color="CCCCCC"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Planning Control</w:t>
            </w:r>
          </w:p>
        </w:tc>
        <w:tc>
          <w:tcPr>
            <w:tcW w:type="dxa" w:w="3780"/>
            <w:tcBorders>
              <w:top w:val="single" w:color="CCCCCC" w:sz="1"/>
              <w:left w:val="single" w:color="CCCCCC" w:sz="1"/>
              <w:bottom w:val="single" w:color="CCCCCC" w:sz="1"/>
              <w:right w:val="single" w:color="CCCCCC"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Provision</w:t>
            </w:r>
          </w:p>
        </w:tc>
        <w:tc>
          <w:tcPr>
            <w:tcW w:type="dxa" w:w="1680"/>
            <w:tcBorders>
              <w:top w:val="single" w:color="CCCCCC" w:sz="1"/>
              <w:left w:val="single" w:color="CCCCCC" w:sz="1"/>
              <w:bottom w:val="single" w:color="CCCCCC" w:sz="1"/>
              <w:right w:val="single" w:color="CCCCCC"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Zoning (CPS2)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City Centre Use Area — Precinct 1 Northbridge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Current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R-code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 applicable (City Centre zone)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Current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Max. Height (CPS2)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Discretionary; higher scale permitted on Roe St frontage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Current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Plot Ratio (LPS3 draft)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Base ~5.5:1; potential 100,000 m² GFA</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Draft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Height (LPS3 draft)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16+ storeys (High Scale Mixed Use)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Draft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Permitted Uses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Residential, Office, Hotel, Retail, Education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Current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Entertainment Precinct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Amendment 41 — acoustic and residential restrictions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Gazetted Feb 2026</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MRS Zone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Urban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Current</w:t>
            </w:r>
          </w:p>
        </w:tc>
      </w:tr>
    </w:tbl>
    <w:p>
      <w:r>
        <w:br w:type="page"/>
      </w:r>
    </w:p>
    <w:p>
      <w:pPr>
        <w:pStyle w:val="Heading1"/>
        <w:pBdr>
          <w:bottom w:val="single" w:color="2E6B2E" w:sz="6" w:space="1"/>
        </w:pBdr>
        <w:spacing w:after="120" w:before="360"/>
      </w:pPr>
      <w:r>
        <w:rPr>
          <w:rFonts w:ascii="Arial" w:cs="Arial" w:eastAsia="Arial" w:hAnsi="Arial"/>
          <w:b/>
          <w:bCs/>
          <w:color w:val="1E3D1E"/>
          <w:sz w:val="32"/>
          <w:szCs w:val="32"/>
        </w:rPr>
        <w:t xml:space="preserve">4. Development Potential</w:t>
      </w:r>
    </w:p>
    <w:p>
      <w:pPr>
        <w:pStyle w:val="Heading2"/>
        <w:spacing w:after="80" w:before="240"/>
      </w:pPr>
      <w:r>
        <w:rPr>
          <w:rFonts w:ascii="Arial" w:cs="Arial" w:eastAsia="Arial" w:hAnsi="Arial"/>
          <w:b/>
          <w:bCs/>
          <w:color w:val="2E6B2E"/>
          <w:sz w:val="26"/>
          <w:szCs w:val="26"/>
        </w:rPr>
        <w:t xml:space="preserve">4.1 Scale and Built Form</w:t>
      </w:r>
    </w:p>
    <w:p>
      <w:pPr>
        <w:spacing w:after="120" w:before="60"/>
      </w:pPr>
      <w:r>
        <w:rPr>
          <w:rFonts w:ascii="Arial" w:cs="Arial" w:eastAsia="Arial" w:hAnsi="Arial"/>
          <w:sz w:val="22"/>
          <w:szCs w:val="22"/>
        </w:rPr>
        <w:t xml:space="preserve">Based on the site area of approximately 9,579 m² and the provisions of draft LPS3, the following development parameters are indicative:</w:t>
      </w:r>
    </w:p>
    <w:p>
      <w:pPr>
        <w:spacing w:after="120" w:before="12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2820"/>
      </w:tblGrid>
      <w:tr>
        <w:trPr>
          <w:tblHeader/>
        </w:trPr>
        <w:tc>
          <w:tcPr>
            <w:tcW w:type="dxa" w:w="3120"/>
            <w:tcBorders>
              <w:top w:val="single" w:color="CCCCCC" w:sz="1"/>
              <w:left w:val="single" w:color="CCCCCC" w:sz="1"/>
              <w:bottom w:val="single" w:color="CCCCCC" w:sz="1"/>
              <w:right w:val="single" w:color="CCCCCC"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520"/>
            <w:tcBorders>
              <w:top w:val="single" w:color="CCCCCC" w:sz="1"/>
              <w:left w:val="single" w:color="CCCCCC" w:sz="1"/>
              <w:bottom w:val="single" w:color="CCCCCC" w:sz="1"/>
              <w:right w:val="single" w:color="CCCCCC"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Indicative Figure</w:t>
            </w:r>
          </w:p>
        </w:tc>
        <w:tc>
          <w:tcPr>
            <w:tcW w:type="dxa" w:w="2820"/>
            <w:tcBorders>
              <w:top w:val="single" w:color="CCCCCC" w:sz="1"/>
              <w:left w:val="single" w:color="CCCCCC" w:sz="1"/>
              <w:bottom w:val="single" w:color="CCCCCC" w:sz="1"/>
              <w:right w:val="single" w:color="CCCCCC"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Site Area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~9,579 m²</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Approx. from sales listing; confirm from Landgate cadastre</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Base Plot Ratio (LPS3)</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~5.5:1</w:t>
            </w:r>
          </w:p>
        </w:tc>
        <w:tc>
          <w:tcPr>
            <w:tcW w:type="dxa" w:w="2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Subject to LPS3 gazettal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Indicative Max. GFA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~100,000 m²</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STCA; from sales agent disclosure</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Height</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16+ storeys</w:t>
            </w:r>
          </w:p>
        </w:tc>
        <w:tc>
          <w:tcPr>
            <w:tcW w:type="dxa" w:w="2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LPS3 'High Scale' category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Podium Height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4–6 storeys (street frontage)</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Subject to design and precinct guidelines</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Tower Height</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16–30+ storeys (to be confirmed)</w:t>
            </w:r>
          </w:p>
        </w:tc>
        <w:tc>
          <w:tcPr>
            <w:tcW w:type="dxa" w:w="2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Subject to MaxBHP and design review</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Street Setback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Nil (active frontage required)</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CPS2 Precinct Plan 1</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Side/Rear Setbacks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3–6 m (lower form); 4–8 m (upper form)</w:t>
            </w:r>
          </w:p>
        </w:tc>
        <w:tc>
          <w:tcPr>
            <w:tcW w:type="dxa" w:w="2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Draft Building Heights and Setbacks LPP</w:t>
            </w:r>
          </w:p>
        </w:tc>
      </w:tr>
    </w:tbl>
    <w:p>
      <w:pPr>
        <w:spacing w:after="120" w:before="120"/>
      </w:pPr>
      <w:r>
        <w:t xml:space="preserve"/>
      </w:r>
    </w:p>
    <w:p>
      <w:pPr>
        <w:pStyle w:val="Heading2"/>
        <w:spacing w:after="80" w:before="240"/>
      </w:pPr>
      <w:r>
        <w:rPr>
          <w:rFonts w:ascii="Arial" w:cs="Arial" w:eastAsia="Arial" w:hAnsi="Arial"/>
          <w:b/>
          <w:bCs/>
          <w:color w:val="2E6B2E"/>
          <w:sz w:val="26"/>
          <w:szCs w:val="26"/>
        </w:rPr>
        <w:t xml:space="preserve">4.2 Mixed-Use Program</w:t>
      </w:r>
    </w:p>
    <w:p>
      <w:pPr>
        <w:spacing w:after="120" w:before="60"/>
      </w:pPr>
      <w:r>
        <w:rPr>
          <w:rFonts w:ascii="Arial" w:cs="Arial" w:eastAsia="Arial" w:hAnsi="Arial"/>
          <w:sz w:val="22"/>
          <w:szCs w:val="22"/>
        </w:rPr>
        <w:t xml:space="preserve">Given the location, precinct character, and the provisions of Amendment 41, the following indicative mixed-use program is suggested for feasibility testing:</w:t>
      </w:r>
    </w:p>
    <w:p>
      <w:pPr>
        <w:pStyle w:val="ListParagraph"/>
        <w:numPr>
          <w:ilvl w:val="0"/>
          <w:numId w:val="2"/>
        </w:numPr>
        <w:spacing w:after="40" w:before="40"/>
      </w:pPr>
      <w:r>
        <w:rPr>
          <w:rFonts w:ascii="Arial" w:cs="Arial" w:eastAsia="Arial" w:hAnsi="Arial"/>
          <w:sz w:val="22"/>
          <w:szCs w:val="22"/>
        </w:rPr>
        <w:t xml:space="preserve">Ground floor: Active retail, food and beverage, cultural tenancies (nil setback, continuous shop fronts)</w:t>
      </w:r>
    </w:p>
    <w:p>
      <w:pPr>
        <w:pStyle w:val="ListParagraph"/>
        <w:numPr>
          <w:ilvl w:val="0"/>
          <w:numId w:val="2"/>
        </w:numPr>
        <w:spacing w:after="40" w:before="40"/>
      </w:pPr>
      <w:r>
        <w:rPr>
          <w:rFonts w:ascii="Arial" w:cs="Arial" w:eastAsia="Arial" w:hAnsi="Arial"/>
          <w:sz w:val="22"/>
          <w:szCs w:val="22"/>
        </w:rPr>
        <w:t xml:space="preserve">Podium levels 2–6: Office NLA, educational facilities (ECU campus adjacency an advantage)</w:t>
      </w:r>
    </w:p>
    <w:p>
      <w:pPr>
        <w:pStyle w:val="ListParagraph"/>
        <w:numPr>
          <w:ilvl w:val="0"/>
          <w:numId w:val="2"/>
        </w:numPr>
        <w:spacing w:after="40" w:before="40"/>
      </w:pPr>
      <w:r>
        <w:rPr>
          <w:rFonts w:ascii="Arial" w:cs="Arial" w:eastAsia="Arial" w:hAnsi="Arial"/>
          <w:sz w:val="22"/>
          <w:szCs w:val="22"/>
        </w:rPr>
        <w:t xml:space="preserve">Tower levels 7–16+: Hotel (short-stay accommodation avoids residential Core restrictions) or serviced apartments</w:t>
      </w:r>
    </w:p>
    <w:p>
      <w:pPr>
        <w:pStyle w:val="ListParagraph"/>
        <w:numPr>
          <w:ilvl w:val="0"/>
          <w:numId w:val="2"/>
        </w:numPr>
        <w:spacing w:after="40" w:before="40"/>
      </w:pPr>
      <w:r>
        <w:rPr>
          <w:rFonts w:ascii="Arial" w:cs="Arial" w:eastAsia="Arial" w:hAnsi="Arial"/>
          <w:sz w:val="22"/>
          <w:szCs w:val="22"/>
        </w:rPr>
        <w:t xml:space="preserve">Roof level: Publicly accessible sky garden / green terrace (GPR contribution)</w:t>
      </w:r>
    </w:p>
    <w:p>
      <w:pPr>
        <w:spacing w:after="120" w:before="60"/>
      </w:pPr>
      <w:r>
        <w:rPr>
          <w:rFonts w:ascii="Arial" w:cs="Arial" w:eastAsia="Arial" w:hAnsi="Arial"/>
          <w:sz w:val="22"/>
          <w:szCs w:val="22"/>
        </w:rPr>
        <w:t xml:space="preserve">A permanent residential component is possible in the Frame or Transition area of the Entertainment Precinct, subject to acoustic attenuation. If the site falls in the Core, hotel or serviced apartments are the preferred upper-floor use.</w:t>
      </w:r>
    </w:p>
    <w:p>
      <w:pPr>
        <w:pStyle w:val="Heading2"/>
        <w:spacing w:after="80" w:before="240"/>
      </w:pPr>
      <w:r>
        <w:rPr>
          <w:rFonts w:ascii="Arial" w:cs="Arial" w:eastAsia="Arial" w:hAnsi="Arial"/>
          <w:b/>
          <w:bCs/>
          <w:color w:val="2E6B2E"/>
          <w:sz w:val="26"/>
          <w:szCs w:val="26"/>
        </w:rPr>
        <w:t xml:space="preserve">4.3 Green Plot Ratio (GPR) Considerations</w:t>
      </w:r>
    </w:p>
    <w:p>
      <w:pPr>
        <w:spacing w:after="120" w:before="60"/>
      </w:pPr>
      <w:r>
        <w:rPr>
          <w:rFonts w:ascii="Arial" w:cs="Arial" w:eastAsia="Arial" w:hAnsi="Arial"/>
          <w:sz w:val="22"/>
          <w:szCs w:val="22"/>
        </w:rPr>
        <w:t xml:space="preserve">The Green Plot Ratio (GPR) is a planning metric developed by Associate Professor Boon Lay Ong (Curtin University) for quantifying three-dimensional urban greenery based on Leaf Area Index (LAI). GPR is calculated as the total leaf area of all vegetation on a site divided by the site area.</w:t>
      </w:r>
    </w:p>
    <w:p>
      <w:pPr>
        <w:spacing w:after="120" w:before="60"/>
      </w:pPr>
      <w:r>
        <w:rPr>
          <w:rFonts w:ascii="Arial" w:cs="Arial" w:eastAsia="Arial" w:hAnsi="Arial"/>
          <w:sz w:val="22"/>
          <w:szCs w:val="22"/>
        </w:rPr>
        <w:t xml:space="preserve">For a high-rise development at this site, GPR analysis should address the following greenery opportunities:</w:t>
      </w:r>
    </w:p>
    <w:p>
      <w:pPr>
        <w:pStyle w:val="ListParagraph"/>
        <w:numPr>
          <w:ilvl w:val="0"/>
          <w:numId w:val="2"/>
        </w:numPr>
        <w:spacing w:after="40" w:before="40"/>
      </w:pPr>
      <w:r>
        <w:rPr>
          <w:rFonts w:ascii="Arial" w:cs="Arial" w:eastAsia="Arial" w:hAnsi="Arial"/>
          <w:sz w:val="22"/>
          <w:szCs w:val="22"/>
        </w:rPr>
        <w:t xml:space="preserve">Ground-floor streetscape planting along all four frontages (Beaufort, James, Stirling, Roe Streets)</w:t>
      </w:r>
    </w:p>
    <w:p>
      <w:pPr>
        <w:pStyle w:val="ListParagraph"/>
        <w:numPr>
          <w:ilvl w:val="0"/>
          <w:numId w:val="2"/>
        </w:numPr>
        <w:spacing w:after="40" w:before="40"/>
      </w:pPr>
      <w:r>
        <w:rPr>
          <w:rFonts w:ascii="Arial" w:cs="Arial" w:eastAsia="Arial" w:hAnsi="Arial"/>
          <w:sz w:val="22"/>
          <w:szCs w:val="22"/>
        </w:rPr>
        <w:t xml:space="preserve">Podium roof garden on levels 4–6 (large planted area above podium roof)</w:t>
      </w:r>
    </w:p>
    <w:p>
      <w:pPr>
        <w:pStyle w:val="ListParagraph"/>
        <w:numPr>
          <w:ilvl w:val="0"/>
          <w:numId w:val="2"/>
        </w:numPr>
        <w:spacing w:after="40" w:before="40"/>
      </w:pPr>
      <w:r>
        <w:rPr>
          <w:rFonts w:ascii="Arial" w:cs="Arial" w:eastAsia="Arial" w:hAnsi="Arial"/>
          <w:sz w:val="22"/>
          <w:szCs w:val="22"/>
        </w:rPr>
        <w:t xml:space="preserve">Vertical green walls on tower facades (significant LAI contribution)</w:t>
      </w:r>
    </w:p>
    <w:p>
      <w:pPr>
        <w:pStyle w:val="ListParagraph"/>
        <w:numPr>
          <w:ilvl w:val="0"/>
          <w:numId w:val="2"/>
        </w:numPr>
        <w:spacing w:after="40" w:before="40"/>
      </w:pPr>
      <w:r>
        <w:rPr>
          <w:rFonts w:ascii="Arial" w:cs="Arial" w:eastAsia="Arial" w:hAnsi="Arial"/>
          <w:sz w:val="22"/>
          <w:szCs w:val="22"/>
        </w:rPr>
        <w:t xml:space="preserve">Sky terrace and roof-level planting at tower crown</w:t>
      </w:r>
    </w:p>
    <w:p>
      <w:pPr>
        <w:pStyle w:val="ListParagraph"/>
        <w:numPr>
          <w:ilvl w:val="0"/>
          <w:numId w:val="2"/>
        </w:numPr>
        <w:spacing w:after="40" w:before="40"/>
      </w:pPr>
      <w:r>
        <w:rPr>
          <w:rFonts w:ascii="Arial" w:cs="Arial" w:eastAsia="Arial" w:hAnsi="Arial"/>
          <w:sz w:val="22"/>
          <w:szCs w:val="22"/>
        </w:rPr>
        <w:t xml:space="preserve">Atrium or internal green cores (if applicable)</w:t>
      </w:r>
    </w:p>
    <w:p>
      <w:pPr>
        <w:spacing w:after="120" w:before="60"/>
      </w:pPr>
      <w:r>
        <w:rPr>
          <w:rFonts w:ascii="Arial" w:cs="Arial" w:eastAsia="Arial" w:hAnsi="Arial"/>
          <w:sz w:val="22"/>
          <w:szCs w:val="22"/>
        </w:rPr>
        <w:t xml:space="preserve">For a 9,579 m² site in a city centre context, achieving a GPR target of 0.5 to 1.0 would be a meaningful sustainability outcome, comparable to Singapore's GPR requirements for high-density urban precincts. The GPRTool will be used to model these scenarios by importing the Landgate cadastral site boundary and building massing geometry.</w:t>
      </w:r>
    </w:p>
    <w:p>
      <w:r>
        <w:br w:type="page"/>
      </w:r>
    </w:p>
    <w:p>
      <w:pPr>
        <w:pStyle w:val="Heading1"/>
        <w:pBdr>
          <w:bottom w:val="single" w:color="2E6B2E" w:sz="6" w:space="1"/>
        </w:pBdr>
        <w:spacing w:after="120" w:before="360"/>
      </w:pPr>
      <w:r>
        <w:rPr>
          <w:rFonts w:ascii="Arial" w:cs="Arial" w:eastAsia="Arial" w:hAnsi="Arial"/>
          <w:b/>
          <w:bCs/>
          <w:color w:val="1E3D1E"/>
          <w:sz w:val="32"/>
          <w:szCs w:val="32"/>
        </w:rPr>
        <w:t xml:space="preserve">5. Sustainability, Energy and Net Zero Requirements</w:t>
      </w:r>
    </w:p>
    <w:p>
      <w:pPr>
        <w:pStyle w:val="Heading2"/>
        <w:spacing w:after="80" w:before="240"/>
      </w:pPr>
      <w:r>
        <w:rPr>
          <w:rFonts w:ascii="Arial" w:cs="Arial" w:eastAsia="Arial" w:hAnsi="Arial"/>
          <w:b/>
          <w:bCs/>
          <w:color w:val="2E6B2E"/>
          <w:sz w:val="26"/>
          <w:szCs w:val="26"/>
        </w:rPr>
        <w:t xml:space="preserve">5.1 National Construction Code (NCC) — Section J</w:t>
      </w:r>
    </w:p>
    <w:p>
      <w:pPr>
        <w:spacing w:after="120" w:before="60"/>
      </w:pPr>
      <w:r>
        <w:rPr>
          <w:rFonts w:ascii="Arial" w:cs="Arial" w:eastAsia="Arial" w:hAnsi="Arial"/>
          <w:sz w:val="22"/>
          <w:szCs w:val="22"/>
        </w:rPr>
        <w:t xml:space="preserve">All non-residential components of the proposed development (Classes 3, 5, 6, 9) must comply with NCC Section J energy efficiency provisions. Key requirements under NCC 2022 (currently applicable in WA) and the forthcoming NCC 2025 are:</w:t>
      </w:r>
    </w:p>
    <w:p>
      <w:pPr>
        <w:pStyle w:val="ListParagraph"/>
        <w:numPr>
          <w:ilvl w:val="0"/>
          <w:numId w:val="2"/>
        </w:numPr>
        <w:spacing w:after="40" w:before="40"/>
      </w:pPr>
      <w:r>
        <w:rPr>
          <w:rFonts w:ascii="Arial" w:cs="Arial" w:eastAsia="Arial" w:hAnsi="Arial"/>
          <w:sz w:val="22"/>
          <w:szCs w:val="22"/>
        </w:rPr>
        <w:t xml:space="preserve">Energy modelling required via JV3 performance solution pathway for complex or mixed-use buildings</w:t>
      </w:r>
    </w:p>
    <w:p>
      <w:pPr>
        <w:pStyle w:val="ListParagraph"/>
        <w:numPr>
          <w:ilvl w:val="0"/>
          <w:numId w:val="2"/>
        </w:numPr>
        <w:spacing w:after="40" w:before="40"/>
      </w:pPr>
      <w:r>
        <w:rPr>
          <w:rFonts w:ascii="Arial" w:cs="Arial" w:eastAsia="Arial" w:hAnsi="Arial"/>
          <w:sz w:val="22"/>
          <w:szCs w:val="22"/>
        </w:rPr>
        <w:t xml:space="preserve">Building fabric requirements: insulation R-values, glazing U-value, SHGC limits, and air infiltration standards</w:t>
      </w:r>
    </w:p>
    <w:p>
      <w:pPr>
        <w:pStyle w:val="ListParagraph"/>
        <w:numPr>
          <w:ilvl w:val="0"/>
          <w:numId w:val="2"/>
        </w:numPr>
        <w:spacing w:after="40" w:before="40"/>
      </w:pPr>
      <w:r>
        <w:rPr>
          <w:rFonts w:ascii="Arial" w:cs="Arial" w:eastAsia="Arial" w:hAnsi="Arial"/>
          <w:sz w:val="22"/>
          <w:szCs w:val="22"/>
        </w:rPr>
        <w:t xml:space="preserve">Mechanical services: HVAC efficiency, ventilation rates, ductwork performance</w:t>
      </w:r>
    </w:p>
    <w:p>
      <w:pPr>
        <w:pStyle w:val="ListParagraph"/>
        <w:numPr>
          <w:ilvl w:val="0"/>
          <w:numId w:val="2"/>
        </w:numPr>
        <w:spacing w:after="40" w:before="40"/>
      </w:pPr>
      <w:r>
        <w:rPr>
          <w:rFonts w:ascii="Arial" w:cs="Arial" w:eastAsia="Arial" w:hAnsi="Arial"/>
          <w:sz w:val="22"/>
          <w:szCs w:val="22"/>
        </w:rPr>
        <w:t xml:space="preserve">Lighting: maximum power density requirements per space type</w:t>
      </w:r>
    </w:p>
    <w:p>
      <w:pPr>
        <w:spacing w:after="120" w:before="60"/>
      </w:pPr>
      <w:r>
        <w:rPr>
          <w:rFonts w:ascii="Arial" w:cs="Arial" w:eastAsia="Arial" w:hAnsi="Arial"/>
          <w:sz w:val="22"/>
          <w:szCs w:val="22"/>
        </w:rPr>
        <w:t xml:space="preserve">Under NCC 2025 (adoption date not yet confirmed for WA as of March 2026):</w:t>
      </w:r>
    </w:p>
    <w:p>
      <w:pPr>
        <w:pStyle w:val="ListParagraph"/>
        <w:numPr>
          <w:ilvl w:val="0"/>
          <w:numId w:val="2"/>
        </w:numPr>
        <w:spacing w:after="40" w:before="40"/>
      </w:pPr>
      <w:r>
        <w:rPr>
          <w:rFonts w:ascii="Arial" w:cs="Arial" w:eastAsia="Arial" w:hAnsi="Arial"/>
          <w:sz w:val="22"/>
          <w:szCs w:val="22"/>
        </w:rPr>
        <w:t xml:space="preserve">Mandatory on-site solar PV under Clause J9D5: 100% of available roof space must be covered with PV as a minimum DTS requirement</w:t>
      </w:r>
    </w:p>
    <w:p>
      <w:pPr>
        <w:pStyle w:val="ListParagraph"/>
        <w:numPr>
          <w:ilvl w:val="0"/>
          <w:numId w:val="2"/>
        </w:numPr>
        <w:spacing w:after="40" w:before="40"/>
      </w:pPr>
      <w:r>
        <w:rPr>
          <w:rFonts w:ascii="Arial" w:cs="Arial" w:eastAsia="Arial" w:hAnsi="Arial"/>
          <w:sz w:val="22"/>
          <w:szCs w:val="22"/>
        </w:rPr>
        <w:t xml:space="preserve">Switchboards must allow for future battery storage with reserved space</w:t>
      </w:r>
    </w:p>
    <w:p>
      <w:pPr>
        <w:pStyle w:val="ListParagraph"/>
        <w:numPr>
          <w:ilvl w:val="0"/>
          <w:numId w:val="2"/>
        </w:numPr>
        <w:spacing w:after="40" w:before="40"/>
      </w:pPr>
      <w:r>
        <w:rPr>
          <w:rFonts w:ascii="Arial" w:cs="Arial" w:eastAsia="Arial" w:hAnsi="Arial"/>
          <w:sz w:val="22"/>
          <w:szCs w:val="22"/>
        </w:rPr>
        <w:t xml:space="preserve">Gas-powered buildings require additional solar PV to offset emissions and provisions for future electrification</w:t>
      </w:r>
    </w:p>
    <w:p>
      <w:pPr>
        <w:pStyle w:val="ListParagraph"/>
        <w:numPr>
          <w:ilvl w:val="0"/>
          <w:numId w:val="2"/>
        </w:numPr>
        <w:spacing w:after="40" w:before="40"/>
      </w:pPr>
      <w:r>
        <w:rPr>
          <w:rFonts w:ascii="Arial" w:cs="Arial" w:eastAsia="Arial" w:hAnsi="Arial"/>
          <w:sz w:val="22"/>
          <w:szCs w:val="22"/>
        </w:rPr>
        <w:t xml:space="preserve">Higher Deemed-to-Satisfy (DTS) settings apply to the building fabric: lower glazing U-values, revised SHGC limits, tighter glazing area ratios</w:t>
      </w:r>
    </w:p>
    <w:p>
      <w:pPr>
        <w:spacing w:after="60" w:before="60"/>
      </w:pPr>
      <w:r>
        <w:rPr>
          <w:rFonts w:ascii="Arial" w:cs="Arial" w:eastAsia="Arial" w:hAnsi="Arial"/>
          <w:i/>
          <w:iCs/>
          <w:color w:val="555555"/>
          <w:sz w:val="20"/>
          <w:szCs w:val="20"/>
        </w:rPr>
        <w:t xml:space="preserve">Note: WA has not yet confirmed NCC 2025 adoption dates as of March 2026. The ACT has confirmed adoption from 1 May 2026. Designers should monitor the WA Department of Mines, Industry Regulation and Safety (DMIRS) for WA-specific implementation timelines.</w:t>
      </w:r>
    </w:p>
    <w:p>
      <w:pPr>
        <w:pStyle w:val="Heading2"/>
        <w:spacing w:after="80" w:before="240"/>
      </w:pPr>
      <w:r>
        <w:rPr>
          <w:rFonts w:ascii="Arial" w:cs="Arial" w:eastAsia="Arial" w:hAnsi="Arial"/>
          <w:b/>
          <w:bCs/>
          <w:color w:val="2E6B2E"/>
          <w:sz w:val="26"/>
          <w:szCs w:val="26"/>
        </w:rPr>
        <w:t xml:space="preserve">5.2 NatHERS — Residential Components</w:t>
      </w:r>
    </w:p>
    <w:p>
      <w:pPr>
        <w:spacing w:after="120" w:before="60"/>
      </w:pPr>
      <w:r>
        <w:rPr>
          <w:rFonts w:ascii="Arial" w:cs="Arial" w:eastAsia="Arial" w:hAnsi="Arial"/>
          <w:sz w:val="22"/>
          <w:szCs w:val="22"/>
        </w:rPr>
        <w:t xml:space="preserve">If a residential or serviced apartment component is included in the development:</w:t>
      </w:r>
    </w:p>
    <w:p>
      <w:pPr>
        <w:pStyle w:val="ListParagraph"/>
        <w:numPr>
          <w:ilvl w:val="0"/>
          <w:numId w:val="2"/>
        </w:numPr>
        <w:spacing w:after="40" w:before="40"/>
      </w:pPr>
      <w:r>
        <w:rPr>
          <w:rFonts w:ascii="Arial" w:cs="Arial" w:eastAsia="Arial" w:hAnsi="Arial"/>
          <w:sz w:val="22"/>
          <w:szCs w:val="22"/>
        </w:rPr>
        <w:t xml:space="preserve">From 1 May 2025, all apartments in WA must achieve a minimum average NatHERS rating of 7 stars, with a 5 star minimum for individual units</w:t>
      </w:r>
    </w:p>
    <w:p>
      <w:pPr>
        <w:pStyle w:val="ListParagraph"/>
        <w:numPr>
          <w:ilvl w:val="0"/>
          <w:numId w:val="2"/>
        </w:numPr>
        <w:spacing w:after="40" w:before="40"/>
      </w:pPr>
      <w:r>
        <w:rPr>
          <w:rFonts w:ascii="Arial" w:cs="Arial" w:eastAsia="Arial" w:hAnsi="Arial"/>
          <w:sz w:val="22"/>
          <w:szCs w:val="22"/>
        </w:rPr>
        <w:t xml:space="preserve">A whole-of-home annual energy use budget also applies, covering HVAC, hot water, cooking, lighting and pool/spa equipment</w:t>
      </w:r>
    </w:p>
    <w:p>
      <w:pPr>
        <w:pStyle w:val="ListParagraph"/>
        <w:numPr>
          <w:ilvl w:val="0"/>
          <w:numId w:val="2"/>
        </w:numPr>
        <w:spacing w:after="40" w:before="40"/>
      </w:pPr>
      <w:r>
        <w:rPr>
          <w:rFonts w:ascii="Arial" w:cs="Arial" w:eastAsia="Arial" w:hAnsi="Arial"/>
          <w:sz w:val="22"/>
          <w:szCs w:val="22"/>
        </w:rPr>
        <w:t xml:space="preserve">Rooftop solar panels and batteries are not mandatory but may be factored into the energy budget</w:t>
      </w:r>
    </w:p>
    <w:p>
      <w:pPr>
        <w:pStyle w:val="Heading2"/>
        <w:spacing w:after="80" w:before="240"/>
      </w:pPr>
      <w:r>
        <w:rPr>
          <w:rFonts w:ascii="Arial" w:cs="Arial" w:eastAsia="Arial" w:hAnsi="Arial"/>
          <w:b/>
          <w:bCs/>
          <w:color w:val="2E6B2E"/>
          <w:sz w:val="26"/>
          <w:szCs w:val="26"/>
        </w:rPr>
        <w:t xml:space="preserve">5.3 NABERS — National Australian Built Environment Rating System</w:t>
      </w:r>
    </w:p>
    <w:p>
      <w:pPr>
        <w:spacing w:after="120" w:before="60"/>
      </w:pPr>
      <w:r>
        <w:rPr>
          <w:rFonts w:ascii="Arial" w:cs="Arial" w:eastAsia="Arial" w:hAnsi="Arial"/>
          <w:sz w:val="22"/>
          <w:szCs w:val="22"/>
        </w:rPr>
        <w:t xml:space="preserve">NABERS is a national performance rating system (0–6 stars) measuring the operational environmental performance of buildings. It covers energy, water, waste, and indoor environment quality across offices, hotels, shopping centres, apartments, and data centres.</w:t>
      </w:r>
    </w:p>
    <w:p>
      <w:pPr>
        <w:spacing w:after="60" w:before="180"/>
      </w:pPr>
      <w:r>
        <w:rPr>
          <w:rFonts w:ascii="Arial" w:cs="Arial" w:eastAsia="Arial" w:hAnsi="Arial"/>
          <w:b/>
          <w:bCs/>
          <w:color w:val="333333"/>
          <w:sz w:val="24"/>
          <w:szCs w:val="24"/>
        </w:rPr>
        <w:t xml:space="preserve">5.3.1 Mandatory Disclosure (Commercial Building Disclosure Program)</w:t>
      </w:r>
    </w:p>
    <w:p>
      <w:pPr>
        <w:spacing w:after="120" w:before="60"/>
      </w:pPr>
      <w:r>
        <w:rPr>
          <w:rFonts w:ascii="Arial" w:cs="Arial" w:eastAsia="Arial" w:hAnsi="Arial"/>
          <w:sz w:val="22"/>
          <w:szCs w:val="22"/>
        </w:rPr>
        <w:t xml:space="preserve">Under the Commonwealth Building Energy Efficiency Disclosure Act 2010 (BEED Act), vendors and lessors of office space of 1,000 m² or more are required to obtain and disclose a Building Energy Efficiency Certificate (BEEC) including a NABERS Energy for Offices rating. This applies to any office NLA in the proposed development at the time of sale or lease.</w:t>
      </w:r>
    </w:p>
    <w:p>
      <w:pPr>
        <w:spacing w:after="60" w:before="180"/>
      </w:pPr>
      <w:r>
        <w:rPr>
          <w:rFonts w:ascii="Arial" w:cs="Arial" w:eastAsia="Arial" w:hAnsi="Arial"/>
          <w:b/>
          <w:bCs/>
          <w:color w:val="333333"/>
          <w:sz w:val="24"/>
          <w:szCs w:val="24"/>
        </w:rPr>
        <w:t xml:space="preserve">5.3.2 NABERS Commitment Agreement</w:t>
      </w:r>
    </w:p>
    <w:p>
      <w:pPr>
        <w:spacing w:after="120" w:before="60"/>
      </w:pPr>
      <w:r>
        <w:rPr>
          <w:rFonts w:ascii="Arial" w:cs="Arial" w:eastAsia="Arial" w:hAnsi="Arial"/>
          <w:sz w:val="22"/>
          <w:szCs w:val="22"/>
        </w:rPr>
        <w:t xml:space="preserve">For new buildings, a NABERS Commitment Agreement is the mechanism by which a developer commits to achieving a specific NABERS energy rating at the design and construction stage. The minimum star target is:</w:t>
      </w:r>
    </w:p>
    <w:p>
      <w:pPr>
        <w:pStyle w:val="ListParagraph"/>
        <w:numPr>
          <w:ilvl w:val="0"/>
          <w:numId w:val="2"/>
        </w:numPr>
        <w:spacing w:after="40" w:before="40"/>
      </w:pPr>
      <w:r>
        <w:rPr>
          <w:rFonts w:ascii="Arial" w:cs="Arial" w:eastAsia="Arial" w:hAnsi="Arial"/>
          <w:sz w:val="22"/>
          <w:szCs w:val="22"/>
        </w:rPr>
        <w:t xml:space="preserve">5 stars for office base building (NABERS Energy for Offices)</w:t>
      </w:r>
    </w:p>
    <w:p>
      <w:pPr>
        <w:pStyle w:val="ListParagraph"/>
        <w:numPr>
          <w:ilvl w:val="0"/>
          <w:numId w:val="2"/>
        </w:numPr>
        <w:spacing w:after="40" w:before="40"/>
      </w:pPr>
      <w:r>
        <w:rPr>
          <w:rFonts w:ascii="Arial" w:cs="Arial" w:eastAsia="Arial" w:hAnsi="Arial"/>
          <w:sz w:val="22"/>
          <w:szCs w:val="22"/>
        </w:rPr>
        <w:t xml:space="preserve">4 stars for all other sectors (hotel, retail, residential)</w:t>
      </w:r>
    </w:p>
    <w:p>
      <w:pPr>
        <w:spacing w:after="120" w:before="60"/>
      </w:pPr>
      <w:r>
        <w:rPr>
          <w:rFonts w:ascii="Arial" w:cs="Arial" w:eastAsia="Arial" w:hAnsi="Arial"/>
          <w:sz w:val="22"/>
          <w:szCs w:val="22"/>
        </w:rPr>
        <w:t xml:space="preserve">A 5-star NABERS Energy for Offices rating is widely regarded as the market standard for new premium commercial office development in Australian cities. A 5.5 or 6-star target is achievable with active energy management and renewable energy procurement.</w:t>
      </w:r>
    </w:p>
    <w:p>
      <w:pPr>
        <w:spacing w:after="60" w:before="180"/>
      </w:pPr>
      <w:r>
        <w:rPr>
          <w:rFonts w:ascii="Arial" w:cs="Arial" w:eastAsia="Arial" w:hAnsi="Arial"/>
          <w:b/>
          <w:bCs/>
          <w:color w:val="333333"/>
          <w:sz w:val="24"/>
          <w:szCs w:val="24"/>
        </w:rPr>
        <w:t xml:space="preserve">5.3.3 NABERS for Hotels</w:t>
      </w:r>
    </w:p>
    <w:p>
      <w:pPr>
        <w:spacing w:after="120" w:before="60"/>
      </w:pPr>
      <w:r>
        <w:rPr>
          <w:rFonts w:ascii="Arial" w:cs="Arial" w:eastAsia="Arial" w:hAnsi="Arial"/>
          <w:sz w:val="22"/>
          <w:szCs w:val="22"/>
        </w:rPr>
        <w:t xml:space="preserve">If a hotel or short-stay accommodation component is included, NABERS Energy and NABERS Water for Hotels ratings are available and increasingly expected by institutional investors and major hotel operators. A 4.5-star NABERS Energy target for hotels represents a strong sustainability outcome.</w:t>
      </w:r>
    </w:p>
    <w:p>
      <w:pPr>
        <w:pStyle w:val="Heading2"/>
        <w:spacing w:after="80" w:before="240"/>
      </w:pPr>
      <w:r>
        <w:rPr>
          <w:rFonts w:ascii="Arial" w:cs="Arial" w:eastAsia="Arial" w:hAnsi="Arial"/>
          <w:b/>
          <w:bCs/>
          <w:color w:val="2E6B2E"/>
          <w:sz w:val="26"/>
          <w:szCs w:val="26"/>
        </w:rPr>
        <w:t xml:space="preserve">5.4 Green Star — Green Building Council of Australia</w:t>
      </w:r>
    </w:p>
    <w:p>
      <w:pPr>
        <w:spacing w:after="120" w:before="60"/>
      </w:pPr>
      <w:r>
        <w:rPr>
          <w:rFonts w:ascii="Arial" w:cs="Arial" w:eastAsia="Arial" w:hAnsi="Arial"/>
          <w:sz w:val="22"/>
          <w:szCs w:val="22"/>
        </w:rPr>
        <w:t xml:space="preserve">Green Star is a voluntary national rating system for new buildings and major refurbishments, administered by the Green Building Council of Australia (GBCA). It assesses nine categories: management, indoor environment quality, energy, transport, water, materials, land use and ecology, emissions, and innovation.</w:t>
      </w:r>
    </w:p>
    <w:p>
      <w:pPr>
        <w:spacing w:after="120" w:before="60"/>
      </w:pPr>
      <w:r>
        <w:rPr>
          <w:rFonts w:ascii="Arial" w:cs="Arial" w:eastAsia="Arial" w:hAnsi="Arial"/>
          <w:sz w:val="22"/>
          <w:szCs w:val="22"/>
        </w:rPr>
        <w:t xml:space="preserve">Three rating levels are available: 4 Star (Best Practice), 5 Star (Australian Excellence), and 6 Star (World Leadership). A 5-star Green Star rating is the benchmark for landmark mixed-use developments in Australian city centres.</w:t>
      </w:r>
    </w:p>
    <w:p>
      <w:pPr>
        <w:spacing w:after="120" w:before="60"/>
      </w:pPr>
      <w:r>
        <w:rPr>
          <w:rFonts w:ascii="Arial" w:cs="Arial" w:eastAsia="Arial" w:hAnsi="Arial"/>
          <w:sz w:val="22"/>
          <w:szCs w:val="22"/>
        </w:rPr>
        <w:t xml:space="preserve">Key requirements for Green Star Buildings v1:</w:t>
      </w:r>
    </w:p>
    <w:p>
      <w:pPr>
        <w:pStyle w:val="ListParagraph"/>
        <w:numPr>
          <w:ilvl w:val="0"/>
          <w:numId w:val="2"/>
        </w:numPr>
        <w:spacing w:after="40" w:before="40"/>
      </w:pPr>
      <w:r>
        <w:rPr>
          <w:rFonts w:ascii="Arial" w:cs="Arial" w:eastAsia="Arial" w:hAnsi="Arial"/>
          <w:sz w:val="22"/>
          <w:szCs w:val="22"/>
        </w:rPr>
        <w:t xml:space="preserve">Minimum 10% better energy performance than NCC Section J DTS provisions (energy modelling required)</w:t>
      </w:r>
    </w:p>
    <w:p>
      <w:pPr>
        <w:pStyle w:val="ListParagraph"/>
        <w:numPr>
          <w:ilvl w:val="0"/>
          <w:numId w:val="2"/>
        </w:numPr>
        <w:spacing w:after="40" w:before="40"/>
      </w:pPr>
      <w:r>
        <w:rPr>
          <w:rFonts w:ascii="Arial" w:cs="Arial" w:eastAsia="Arial" w:hAnsi="Arial"/>
          <w:sz w:val="22"/>
          <w:szCs w:val="22"/>
        </w:rPr>
        <w:t xml:space="preserve">Zero Carbon Action Plan required</w:t>
      </w:r>
    </w:p>
    <w:p>
      <w:pPr>
        <w:pStyle w:val="ListParagraph"/>
        <w:numPr>
          <w:ilvl w:val="0"/>
          <w:numId w:val="2"/>
        </w:numPr>
        <w:spacing w:after="40" w:before="40"/>
      </w:pPr>
      <w:r>
        <w:rPr>
          <w:rFonts w:ascii="Arial" w:cs="Arial" w:eastAsia="Arial" w:hAnsi="Arial"/>
          <w:sz w:val="22"/>
          <w:szCs w:val="22"/>
        </w:rPr>
        <w:t xml:space="preserve">NCC 2025 Note: Mandatory rooftop PV under J9D5 neutralises the solar PV credit differential; energy credit must be achieved via envelope performance, HVAC efficiency, and building management systems</w:t>
      </w:r>
    </w:p>
    <w:p>
      <w:pPr>
        <w:pStyle w:val="ListParagraph"/>
        <w:numPr>
          <w:ilvl w:val="0"/>
          <w:numId w:val="2"/>
        </w:numPr>
        <w:spacing w:after="40" w:before="40"/>
      </w:pPr>
      <w:r>
        <w:rPr>
          <w:rFonts w:ascii="Arial" w:cs="Arial" w:eastAsia="Arial" w:hAnsi="Arial"/>
          <w:sz w:val="22"/>
          <w:szCs w:val="22"/>
        </w:rPr>
        <w:t xml:space="preserve">Green Star can serve as a Performance Solution for NCC Section J compliance (JP1 and JP3)</w:t>
      </w:r>
    </w:p>
    <w:p>
      <w:pPr>
        <w:pStyle w:val="ListParagraph"/>
        <w:numPr>
          <w:ilvl w:val="0"/>
          <w:numId w:val="2"/>
        </w:numPr>
        <w:spacing w:after="40" w:before="40"/>
      </w:pPr>
      <w:r>
        <w:rPr>
          <w:rFonts w:ascii="Arial" w:cs="Arial" w:eastAsia="Arial" w:hAnsi="Arial"/>
          <w:sz w:val="22"/>
          <w:szCs w:val="22"/>
        </w:rPr>
        <w:t xml:space="preserve">A Green Star Accredited Professional (GSAP) is required on the project team</w:t>
      </w:r>
    </w:p>
    <w:p>
      <w:pPr>
        <w:pStyle w:val="Heading2"/>
        <w:spacing w:after="80" w:before="240"/>
      </w:pPr>
      <w:r>
        <w:rPr>
          <w:rFonts w:ascii="Arial" w:cs="Arial" w:eastAsia="Arial" w:hAnsi="Arial"/>
          <w:b/>
          <w:bCs/>
          <w:color w:val="2E6B2E"/>
          <w:sz w:val="26"/>
          <w:szCs w:val="26"/>
        </w:rPr>
        <w:t xml:space="preserve">5.5 City of Perth Sustainability Requirements</w:t>
      </w:r>
    </w:p>
    <w:p>
      <w:pPr>
        <w:spacing w:after="120" w:before="60"/>
      </w:pPr>
      <w:r>
        <w:rPr>
          <w:rFonts w:ascii="Arial" w:cs="Arial" w:eastAsia="Arial" w:hAnsi="Arial"/>
          <w:sz w:val="22"/>
          <w:szCs w:val="22"/>
        </w:rPr>
        <w:t xml:space="preserve">The City of Perth, through its Local Planning Strategy and draft LPS3, encourages sustainable development outcomes aligned with the State Government's net zero emissions target. While no mandatory Green Star rating is currently required by the City, the following sustainability outcomes are encouraged or may become conditions of planning approval for high-scale developments:</w:t>
      </w:r>
    </w:p>
    <w:p>
      <w:pPr>
        <w:pStyle w:val="ListParagraph"/>
        <w:numPr>
          <w:ilvl w:val="0"/>
          <w:numId w:val="2"/>
        </w:numPr>
        <w:spacing w:after="40" w:before="40"/>
      </w:pPr>
      <w:r>
        <w:rPr>
          <w:rFonts w:ascii="Arial" w:cs="Arial" w:eastAsia="Arial" w:hAnsi="Arial"/>
          <w:sz w:val="22"/>
          <w:szCs w:val="22"/>
        </w:rPr>
        <w:t xml:space="preserve">Passive design principles: solar orientation, natural ventilation, thermal mass</w:t>
      </w:r>
    </w:p>
    <w:p>
      <w:pPr>
        <w:pStyle w:val="ListParagraph"/>
        <w:numPr>
          <w:ilvl w:val="0"/>
          <w:numId w:val="2"/>
        </w:numPr>
        <w:spacing w:after="40" w:before="40"/>
      </w:pPr>
      <w:r>
        <w:rPr>
          <w:rFonts w:ascii="Arial" w:cs="Arial" w:eastAsia="Arial" w:hAnsi="Arial"/>
          <w:sz w:val="22"/>
          <w:szCs w:val="22"/>
        </w:rPr>
        <w:t xml:space="preserve">Urban greening: meaningful tree planting, green roofs, green walls, and contribution to urban biodiversity</w:t>
      </w:r>
    </w:p>
    <w:p>
      <w:pPr>
        <w:pStyle w:val="ListParagraph"/>
        <w:numPr>
          <w:ilvl w:val="0"/>
          <w:numId w:val="2"/>
        </w:numPr>
        <w:spacing w:after="40" w:before="40"/>
      </w:pPr>
      <w:r>
        <w:rPr>
          <w:rFonts w:ascii="Arial" w:cs="Arial" w:eastAsia="Arial" w:hAnsi="Arial"/>
          <w:sz w:val="22"/>
          <w:szCs w:val="22"/>
        </w:rPr>
        <w:t xml:space="preserve">Water sensitive urban design (WSUD): rainwater harvesting, greywater reuse, permeable surfaces</w:t>
      </w:r>
    </w:p>
    <w:p>
      <w:pPr>
        <w:pStyle w:val="ListParagraph"/>
        <w:numPr>
          <w:ilvl w:val="0"/>
          <w:numId w:val="2"/>
        </w:numPr>
        <w:spacing w:after="40" w:before="40"/>
      </w:pPr>
      <w:r>
        <w:rPr>
          <w:rFonts w:ascii="Arial" w:cs="Arial" w:eastAsia="Arial" w:hAnsi="Arial"/>
          <w:sz w:val="22"/>
          <w:szCs w:val="22"/>
        </w:rPr>
        <w:t xml:space="preserve">Bicycle end-of-trip facilities: change rooms, lockers, secure bicycle parking</w:t>
      </w:r>
    </w:p>
    <w:p>
      <w:pPr>
        <w:pStyle w:val="ListParagraph"/>
        <w:numPr>
          <w:ilvl w:val="0"/>
          <w:numId w:val="2"/>
        </w:numPr>
        <w:spacing w:after="40" w:before="40"/>
      </w:pPr>
      <w:r>
        <w:rPr>
          <w:rFonts w:ascii="Arial" w:cs="Arial" w:eastAsia="Arial" w:hAnsi="Arial"/>
          <w:sz w:val="22"/>
          <w:szCs w:val="22"/>
        </w:rPr>
        <w:t xml:space="preserve">Electric vehicle charging infrastructure: minimum provisions for future EV charging in basement car parks</w:t>
      </w:r>
    </w:p>
    <w:p>
      <w:pPr>
        <w:pStyle w:val="ListParagraph"/>
        <w:numPr>
          <w:ilvl w:val="0"/>
          <w:numId w:val="2"/>
        </w:numPr>
        <w:spacing w:after="40" w:before="40"/>
      </w:pPr>
      <w:r>
        <w:rPr>
          <w:rFonts w:ascii="Arial" w:cs="Arial" w:eastAsia="Arial" w:hAnsi="Arial"/>
          <w:sz w:val="22"/>
          <w:szCs w:val="22"/>
        </w:rPr>
        <w:t xml:space="preserve">Waste management: space provision for recycling, composting, and waste separation</w:t>
      </w:r>
    </w:p>
    <w:p>
      <w:pPr>
        <w:pStyle w:val="Heading2"/>
        <w:spacing w:after="80" w:before="240"/>
      </w:pPr>
      <w:r>
        <w:rPr>
          <w:rFonts w:ascii="Arial" w:cs="Arial" w:eastAsia="Arial" w:hAnsi="Arial"/>
          <w:b/>
          <w:bCs/>
          <w:color w:val="2E6B2E"/>
          <w:sz w:val="26"/>
          <w:szCs w:val="26"/>
        </w:rPr>
        <w:t xml:space="preserve">5.6 Perth Climate Context</w:t>
      </w:r>
    </w:p>
    <w:p>
      <w:pPr>
        <w:spacing w:after="120" w:before="60"/>
      </w:pPr>
      <w:r>
        <w:rPr>
          <w:rFonts w:ascii="Arial" w:cs="Arial" w:eastAsia="Arial" w:hAnsi="Arial"/>
          <w:sz w:val="22"/>
          <w:szCs w:val="22"/>
        </w:rPr>
        <w:t xml:space="preserve">Perth has a hot Mediterranean climate (Köppen Csa), characterised by hot dry summers and mild wet winters. Key design implications for this site:</w:t>
      </w:r>
    </w:p>
    <w:p>
      <w:pPr>
        <w:pStyle w:val="ListParagraph"/>
        <w:numPr>
          <w:ilvl w:val="0"/>
          <w:numId w:val="2"/>
        </w:numPr>
        <w:spacing w:after="40" w:before="40"/>
      </w:pPr>
      <w:r>
        <w:rPr>
          <w:rFonts w:ascii="Arial" w:cs="Arial" w:eastAsia="Arial" w:hAnsi="Arial"/>
          <w:sz w:val="22"/>
          <w:szCs w:val="22"/>
        </w:rPr>
        <w:t xml:space="preserve">Solar control is critical: west-facing facades on Beaufort Street require high-performance shading and low SHGC glazing</w:t>
      </w:r>
    </w:p>
    <w:p>
      <w:pPr>
        <w:pStyle w:val="ListParagraph"/>
        <w:numPr>
          <w:ilvl w:val="0"/>
          <w:numId w:val="2"/>
        </w:numPr>
        <w:spacing w:after="40" w:before="40"/>
      </w:pPr>
      <w:r>
        <w:rPr>
          <w:rFonts w:ascii="Arial" w:cs="Arial" w:eastAsia="Arial" w:hAnsi="Arial"/>
          <w:sz w:val="22"/>
          <w:szCs w:val="22"/>
        </w:rPr>
        <w:t xml:space="preserve">Natural ventilation opportunities exist in the mild transitional seasons (spring and autumn)</w:t>
      </w:r>
    </w:p>
    <w:p>
      <w:pPr>
        <w:pStyle w:val="ListParagraph"/>
        <w:numPr>
          <w:ilvl w:val="0"/>
          <w:numId w:val="2"/>
        </w:numPr>
        <w:spacing w:after="40" w:before="40"/>
      </w:pPr>
      <w:r>
        <w:rPr>
          <w:rFonts w:ascii="Arial" w:cs="Arial" w:eastAsia="Arial" w:hAnsi="Arial"/>
          <w:sz w:val="22"/>
          <w:szCs w:val="22"/>
        </w:rPr>
        <w:t xml:space="preserve">Evaporative cooling is effective in the dry climate; consider passive evaporative strategies in outdoor podium areas</w:t>
      </w:r>
    </w:p>
    <w:p>
      <w:pPr>
        <w:pStyle w:val="ListParagraph"/>
        <w:numPr>
          <w:ilvl w:val="0"/>
          <w:numId w:val="2"/>
        </w:numPr>
        <w:spacing w:after="40" w:before="40"/>
      </w:pPr>
      <w:r>
        <w:rPr>
          <w:rFonts w:ascii="Arial" w:cs="Arial" w:eastAsia="Arial" w:hAnsi="Arial"/>
          <w:sz w:val="22"/>
          <w:szCs w:val="22"/>
        </w:rPr>
        <w:t xml:space="preserve">Urban heat island mitigation through green roofs, green walls, and high-albedo surfaces is strongly recommended</w:t>
      </w:r>
    </w:p>
    <w:p>
      <w:pPr>
        <w:pStyle w:val="ListParagraph"/>
        <w:numPr>
          <w:ilvl w:val="0"/>
          <w:numId w:val="2"/>
        </w:numPr>
        <w:spacing w:after="40" w:before="40"/>
      </w:pPr>
      <w:r>
        <w:rPr>
          <w:rFonts w:ascii="Arial" w:cs="Arial" w:eastAsia="Arial" w:hAnsi="Arial"/>
          <w:sz w:val="22"/>
          <w:szCs w:val="22"/>
        </w:rPr>
        <w:t xml:space="preserve">Rooftop solar PV is highly productive in Perth's climate: approximately 1,600–1,800 kWh/kWp/year</w:t>
      </w:r>
    </w:p>
    <w:p>
      <w:pPr>
        <w:pStyle w:val="ListParagraph"/>
        <w:numPr>
          <w:ilvl w:val="0"/>
          <w:numId w:val="2"/>
        </w:numPr>
        <w:spacing w:after="40" w:before="40"/>
      </w:pPr>
      <w:r>
        <w:rPr>
          <w:rFonts w:ascii="Arial" w:cs="Arial" w:eastAsia="Arial" w:hAnsi="Arial"/>
          <w:sz w:val="22"/>
          <w:szCs w:val="22"/>
        </w:rPr>
        <w:t xml:space="preserve">Stormwater management: Perth's winter rainfall requires on-site retention capacity</w:t>
      </w:r>
    </w:p>
    <w:p>
      <w:r>
        <w:br w:type="page"/>
      </w:r>
    </w:p>
    <w:p>
      <w:pPr>
        <w:pStyle w:val="Heading1"/>
        <w:pBdr>
          <w:bottom w:val="single" w:color="2E6B2E" w:sz="6" w:space="1"/>
        </w:pBdr>
        <w:spacing w:after="120" w:before="360"/>
      </w:pPr>
      <w:r>
        <w:rPr>
          <w:rFonts w:ascii="Arial" w:cs="Arial" w:eastAsia="Arial" w:hAnsi="Arial"/>
          <w:b/>
          <w:bCs/>
          <w:color w:val="1E3D1E"/>
          <w:sz w:val="32"/>
          <w:szCs w:val="32"/>
        </w:rPr>
        <w:t xml:space="preserve">6. Green Plot Ratio (GPR) Analysis Framework</w:t>
      </w:r>
    </w:p>
    <w:p>
      <w:pPr>
        <w:pStyle w:val="Heading2"/>
        <w:spacing w:after="80" w:before="240"/>
      </w:pPr>
      <w:r>
        <w:rPr>
          <w:rFonts w:ascii="Arial" w:cs="Arial" w:eastAsia="Arial" w:hAnsi="Arial"/>
          <w:b/>
          <w:bCs/>
          <w:color w:val="2E6B2E"/>
          <w:sz w:val="26"/>
          <w:szCs w:val="26"/>
        </w:rPr>
        <w:t xml:space="preserve">6.1 GPR Methodology</w:t>
      </w:r>
    </w:p>
    <w:p>
      <w:pPr>
        <w:spacing w:after="120" w:before="60"/>
      </w:pPr>
      <w:r>
        <w:rPr>
          <w:rFonts w:ascii="Arial" w:cs="Arial" w:eastAsia="Arial" w:hAnsi="Arial"/>
          <w:sz w:val="22"/>
          <w:szCs w:val="22"/>
        </w:rPr>
        <w:t xml:space="preserve">The Green Plot Ratio (GPR) is defined as the total Leaf Area (LA) of all vegetation on a site divided by the site area (SA):</w:t>
      </w:r>
    </w:p>
    <w:p>
      <w:pPr>
        <w:spacing w:after="120" w:before="120"/>
        <w:jc w:val="center"/>
      </w:pPr>
      <w:r>
        <w:rPr>
          <w:rFonts w:ascii="Arial" w:cs="Arial" w:eastAsia="Arial" w:hAnsi="Arial"/>
          <w:b/>
          <w:bCs/>
          <w:color w:val="1E3D1E"/>
          <w:sz w:val="24"/>
          <w:szCs w:val="24"/>
        </w:rPr>
        <w:t xml:space="preserve">GPR = Total Leaf Area (m²) / Site Area (m²)</w:t>
      </w:r>
    </w:p>
    <w:p>
      <w:pPr>
        <w:spacing w:after="120" w:before="60"/>
      </w:pPr>
      <w:r>
        <w:rPr>
          <w:rFonts w:ascii="Arial" w:cs="Arial" w:eastAsia="Arial" w:hAnsi="Arial"/>
          <w:sz w:val="22"/>
          <w:szCs w:val="22"/>
        </w:rPr>
        <w:t xml:space="preserve">Leaf area is calculated using the Leaf Area Index (LAI) of each plant species, multiplied by the canopy cover area of that plant. LAI values are derived from field measurements conducted in Singapore by Ong and Tan, as well as from supplementary global datasets calibrated for urban conditions.</w:t>
      </w:r>
    </w:p>
    <w:p>
      <w:pPr>
        <w:spacing w:after="120" w:before="60"/>
      </w:pPr>
      <w:r>
        <w:rPr>
          <w:rFonts w:ascii="Arial" w:cs="Arial" w:eastAsia="Arial" w:hAnsi="Arial"/>
          <w:sz w:val="22"/>
          <w:szCs w:val="22"/>
        </w:rPr>
        <w:t xml:space="preserve">For the purposes of GPRTool analysis, the following LAI data sources apply:</w:t>
      </w:r>
    </w:p>
    <w:p>
      <w:pPr>
        <w:pStyle w:val="ListParagraph"/>
        <w:numPr>
          <w:ilvl w:val="0"/>
          <w:numId w:val="2"/>
        </w:numPr>
        <w:spacing w:after="40" w:before="40"/>
      </w:pPr>
      <w:r>
        <w:rPr>
          <w:rFonts w:ascii="Arial" w:cs="Arial" w:eastAsia="Arial" w:hAnsi="Arial"/>
          <w:sz w:val="22"/>
          <w:szCs w:val="22"/>
        </w:rPr>
        <w:t xml:space="preserve">Primary: GreenPlotRatio_LAI Values.csv — 37 species measured in Singapore by Ong &amp; Tan (field data, urban-calibrated)</w:t>
      </w:r>
    </w:p>
    <w:p>
      <w:pPr>
        <w:pStyle w:val="ListParagraph"/>
        <w:numPr>
          <w:ilvl w:val="0"/>
          <w:numId w:val="2"/>
        </w:numPr>
        <w:spacing w:after="40" w:before="40"/>
      </w:pPr>
      <w:r>
        <w:rPr>
          <w:rFonts w:ascii="Arial" w:cs="Arial" w:eastAsia="Arial" w:hAnsi="Arial"/>
          <w:sz w:val="22"/>
          <w:szCs w:val="22"/>
        </w:rPr>
        <w:t xml:space="preserve">Supplementary: LAI_categorised.csv — expanded species database with ORNL/TRY values (requires urban calibration before use)</w:t>
      </w:r>
    </w:p>
    <w:p>
      <w:pPr>
        <w:pStyle w:val="Heading2"/>
        <w:spacing w:after="80" w:before="240"/>
      </w:pPr>
      <w:r>
        <w:rPr>
          <w:rFonts w:ascii="Arial" w:cs="Arial" w:eastAsia="Arial" w:hAnsi="Arial"/>
          <w:b/>
          <w:bCs/>
          <w:color w:val="2E6B2E"/>
          <w:sz w:val="26"/>
          <w:szCs w:val="26"/>
        </w:rPr>
        <w:t xml:space="preserve">6.2 GPR Targets for This Site</w:t>
      </w:r>
    </w:p>
    <w:p>
      <w:pPr>
        <w:spacing w:after="120" w:before="60"/>
      </w:pPr>
      <w:r>
        <w:rPr>
          <w:rFonts w:ascii="Arial" w:cs="Arial" w:eastAsia="Arial" w:hAnsi="Arial"/>
          <w:sz w:val="22"/>
          <w:szCs w:val="22"/>
        </w:rPr>
        <w:t xml:space="preserve">Singapore's Building and Construction Authority (BCA) Green Mark scheme requires a minimum GPR of 0.5 for most new developments, with higher targets for sites in defined greenery precincts. While Perth does not currently have a mandatory GPR requirement, the following targets are proposed for this demonstration:</w:t>
      </w:r>
    </w:p>
    <w:p>
      <w:pPr>
        <w:spacing w:after="120" w:before="12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4140"/>
      </w:tblGrid>
      <w:tr>
        <w:trPr>
          <w:tblHeader/>
        </w:trPr>
        <w:tc>
          <w:tcPr>
            <w:tcW w:type="dxa" w:w="2520"/>
            <w:tcBorders>
              <w:top w:val="single" w:color="CCCCCC" w:sz="1"/>
              <w:left w:val="single" w:color="CCCCCC" w:sz="1"/>
              <w:bottom w:val="single" w:color="CCCCCC" w:sz="1"/>
              <w:right w:val="single" w:color="CCCCCC"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GPR Target</w:t>
            </w:r>
          </w:p>
        </w:tc>
        <w:tc>
          <w:tcPr>
            <w:tcW w:type="dxa" w:w="4140"/>
            <w:tcBorders>
              <w:top w:val="single" w:color="CCCCCC" w:sz="1"/>
              <w:left w:val="single" w:color="CCCCCC" w:sz="1"/>
              <w:bottom w:val="single" w:color="CCCCCC" w:sz="1"/>
              <w:right w:val="single" w:color="CCCCCC"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Baseline (code minimum)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0.3–0.5</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Street trees + ground-level planting only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Best Practice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0.5–1.0</w:t>
            </w:r>
          </w:p>
        </w:tc>
        <w:tc>
          <w:tcPr>
            <w:tcW w:type="dxa" w:w="41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Podium roof garden + street trees + vertical greening</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World Leadership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green roof, sky terraces, facade greening, ground planting</w:t>
            </w:r>
          </w:p>
        </w:tc>
      </w:tr>
    </w:tbl>
    <w:p>
      <w:pPr>
        <w:spacing w:after="120" w:before="120"/>
      </w:pPr>
      <w:r>
        <w:t xml:space="preserve"/>
      </w:r>
    </w:p>
    <w:p>
      <w:pPr>
        <w:pStyle w:val="Heading2"/>
        <w:spacing w:after="80" w:before="240"/>
      </w:pPr>
      <w:r>
        <w:rPr>
          <w:rFonts w:ascii="Arial" w:cs="Arial" w:eastAsia="Arial" w:hAnsi="Arial"/>
          <w:b/>
          <w:bCs/>
          <w:color w:val="2E6B2E"/>
          <w:sz w:val="26"/>
          <w:szCs w:val="26"/>
        </w:rPr>
        <w:t xml:space="preserve">6.3 GPRTool Workflow for This Site</w:t>
      </w:r>
    </w:p>
    <w:p>
      <w:pPr>
        <w:spacing w:after="120" w:before="60"/>
      </w:pPr>
      <w:r>
        <w:rPr>
          <w:rFonts w:ascii="Arial" w:cs="Arial" w:eastAsia="Arial" w:hAnsi="Arial"/>
          <w:sz w:val="22"/>
          <w:szCs w:val="22"/>
        </w:rPr>
        <w:t xml:space="preserve">The following workflow describes how GPRTool will be used to model the GPR for 30 Beaufort Street:</w:t>
      </w:r>
    </w:p>
    <w:p>
      <w:pPr>
        <w:pStyle w:val="ListParagraph"/>
        <w:numPr>
          <w:ilvl w:val="0"/>
          <w:numId w:val="2"/>
        </w:numPr>
        <w:spacing w:after="40" w:before="40"/>
      </w:pPr>
      <w:r>
        <w:rPr>
          <w:rFonts w:ascii="Arial" w:cs="Arial" w:eastAsia="Arial" w:hAnsi="Arial"/>
          <w:sz w:val="22"/>
          <w:szCs w:val="22"/>
        </w:rPr>
        <w:t xml:space="preserve">Step 1: Import site boundary from Landgate SLIP API as GeoJSON (cadastral parcel, survey-accurate)</w:t>
      </w:r>
    </w:p>
    <w:p>
      <w:pPr>
        <w:pStyle w:val="ListParagraph"/>
        <w:numPr>
          <w:ilvl w:val="0"/>
          <w:numId w:val="2"/>
        </w:numPr>
        <w:spacing w:after="40" w:before="40"/>
      </w:pPr>
      <w:r>
        <w:rPr>
          <w:rFonts w:ascii="Arial" w:cs="Arial" w:eastAsia="Arial" w:hAnsi="Arial"/>
          <w:sz w:val="22"/>
          <w:szCs w:val="22"/>
        </w:rPr>
        <w:t xml:space="preserve">Step 2: Build building massing model within GPRTool (podium + tower form, setbacks per LPS3 draft provisions)</w:t>
      </w:r>
    </w:p>
    <w:p>
      <w:pPr>
        <w:pStyle w:val="ListParagraph"/>
        <w:numPr>
          <w:ilvl w:val="0"/>
          <w:numId w:val="2"/>
        </w:numPr>
        <w:spacing w:after="40" w:before="40"/>
      </w:pPr>
      <w:r>
        <w:rPr>
          <w:rFonts w:ascii="Arial" w:cs="Arial" w:eastAsia="Arial" w:hAnsi="Arial"/>
          <w:sz w:val="22"/>
          <w:szCs w:val="22"/>
        </w:rPr>
        <w:t xml:space="preserve">Step 3: Add landscape elements: street trees, podium roof garden, vertical green wall panels, sky terrace planting</w:t>
      </w:r>
    </w:p>
    <w:p>
      <w:pPr>
        <w:pStyle w:val="ListParagraph"/>
        <w:numPr>
          <w:ilvl w:val="0"/>
          <w:numId w:val="2"/>
        </w:numPr>
        <w:spacing w:after="40" w:before="40"/>
      </w:pPr>
      <w:r>
        <w:rPr>
          <w:rFonts w:ascii="Arial" w:cs="Arial" w:eastAsia="Arial" w:hAnsi="Arial"/>
          <w:sz w:val="22"/>
          <w:szCs w:val="22"/>
        </w:rPr>
        <w:t xml:space="preserve">Step 4: Assign LAI values to each plant species from the GPRTool plant library (Singapore field data)</w:t>
      </w:r>
    </w:p>
    <w:p>
      <w:pPr>
        <w:pStyle w:val="ListParagraph"/>
        <w:numPr>
          <w:ilvl w:val="0"/>
          <w:numId w:val="2"/>
        </w:numPr>
        <w:spacing w:after="40" w:before="40"/>
      </w:pPr>
      <w:r>
        <w:rPr>
          <w:rFonts w:ascii="Arial" w:cs="Arial" w:eastAsia="Arial" w:hAnsi="Arial"/>
          <w:sz w:val="22"/>
          <w:szCs w:val="22"/>
        </w:rPr>
        <w:t xml:space="preserve">Step 5: Calculate total leaf area and GPR for each scenario</w:t>
      </w:r>
    </w:p>
    <w:p>
      <w:pPr>
        <w:pStyle w:val="ListParagraph"/>
        <w:numPr>
          <w:ilvl w:val="0"/>
          <w:numId w:val="2"/>
        </w:numPr>
        <w:spacing w:after="40" w:before="40"/>
      </w:pPr>
      <w:r>
        <w:rPr>
          <w:rFonts w:ascii="Arial" w:cs="Arial" w:eastAsia="Arial" w:hAnsi="Arial"/>
          <w:sz w:val="22"/>
          <w:szCs w:val="22"/>
        </w:rPr>
        <w:t xml:space="preserve">Step 6: Export GPR report with species schedule, area schedule, and GPR summary</w:t>
      </w:r>
    </w:p>
    <w:p>
      <w:r>
        <w:br w:type="page"/>
      </w:r>
    </w:p>
    <w:p>
      <w:pPr>
        <w:pStyle w:val="Heading1"/>
        <w:pBdr>
          <w:bottom w:val="single" w:color="2E6B2E" w:sz="6" w:space="1"/>
        </w:pBdr>
        <w:spacing w:after="120" w:before="360"/>
      </w:pPr>
      <w:r>
        <w:rPr>
          <w:rFonts w:ascii="Arial" w:cs="Arial" w:eastAsia="Arial" w:hAnsi="Arial"/>
          <w:b/>
          <w:bCs/>
          <w:color w:val="1E3D1E"/>
          <w:sz w:val="32"/>
          <w:szCs w:val="32"/>
        </w:rPr>
        <w:t xml:space="preserve">7. References and Further Reading</w:t>
      </w:r>
    </w:p>
    <w:p>
      <w:pPr>
        <w:pStyle w:val="Heading2"/>
        <w:spacing w:after="80" w:before="240"/>
      </w:pPr>
      <w:r>
        <w:rPr>
          <w:rFonts w:ascii="Arial" w:cs="Arial" w:eastAsia="Arial" w:hAnsi="Arial"/>
          <w:b/>
          <w:bCs/>
          <w:color w:val="2E6B2E"/>
          <w:sz w:val="26"/>
          <w:szCs w:val="26"/>
        </w:rPr>
        <w:t xml:space="preserve">7.1 Planning and Zoning</w:t>
      </w:r>
    </w:p>
    <w:p>
      <w:pPr>
        <w:pStyle w:val="ListParagraph"/>
        <w:numPr>
          <w:ilvl w:val="0"/>
          <w:numId w:val="2"/>
        </w:numPr>
        <w:spacing w:after="40" w:before="40"/>
      </w:pPr>
      <w:r>
        <w:rPr>
          <w:rFonts w:ascii="Arial" w:cs="Arial" w:eastAsia="Arial" w:hAnsi="Arial"/>
          <w:sz w:val="22"/>
          <w:szCs w:val="22"/>
        </w:rPr>
        <w:t xml:space="preserve">City of Perth. (2024). City Planning Scheme No. 2 (CPS2) — Precinct Plan No. 1: Northbridge. City of Perth. https://perth.wa.gov.au</w:t>
      </w:r>
    </w:p>
    <w:p>
      <w:pPr>
        <w:pStyle w:val="ListParagraph"/>
        <w:numPr>
          <w:ilvl w:val="0"/>
          <w:numId w:val="2"/>
        </w:numPr>
        <w:spacing w:after="40" w:before="40"/>
      </w:pPr>
      <w:r>
        <w:rPr>
          <w:rFonts w:ascii="Arial" w:cs="Arial" w:eastAsia="Arial" w:hAnsi="Arial"/>
          <w:sz w:val="22"/>
          <w:szCs w:val="22"/>
        </w:rPr>
        <w:t xml:space="preserve">City of Perth. (2024). Maximum Building Height Plan (Parts 1 and 2) — March 2024. CPS No. 2 Maps 3 &amp; 4. City of Perth.</w:t>
      </w:r>
    </w:p>
    <w:p>
      <w:pPr>
        <w:pStyle w:val="ListParagraph"/>
        <w:numPr>
          <w:ilvl w:val="0"/>
          <w:numId w:val="2"/>
        </w:numPr>
        <w:spacing w:after="40" w:before="40"/>
      </w:pPr>
      <w:r>
        <w:rPr>
          <w:rFonts w:ascii="Arial" w:cs="Arial" w:eastAsia="Arial" w:hAnsi="Arial"/>
          <w:sz w:val="22"/>
          <w:szCs w:val="22"/>
        </w:rPr>
        <w:t xml:space="preserve">City of Perth. (2024). Draft Local Planning Scheme No. 3 (LPS3) — Approved for Advertising, April 2024. City of Perth.</w:t>
      </w:r>
    </w:p>
    <w:p>
      <w:pPr>
        <w:pStyle w:val="ListParagraph"/>
        <w:numPr>
          <w:ilvl w:val="0"/>
          <w:numId w:val="2"/>
        </w:numPr>
        <w:spacing w:after="40" w:before="40"/>
      </w:pPr>
      <w:r>
        <w:rPr>
          <w:rFonts w:ascii="Arial" w:cs="Arial" w:eastAsia="Arial" w:hAnsi="Arial"/>
          <w:sz w:val="22"/>
          <w:szCs w:val="22"/>
        </w:rPr>
        <w:t xml:space="preserve">City of Perth. (2022). Local Planning Strategy. City of Perth. https://perth.wa.gov.au</w:t>
      </w:r>
    </w:p>
    <w:p>
      <w:pPr>
        <w:pStyle w:val="ListParagraph"/>
        <w:numPr>
          <w:ilvl w:val="0"/>
          <w:numId w:val="2"/>
        </w:numPr>
        <w:spacing w:after="40" w:before="40"/>
      </w:pPr>
      <w:r>
        <w:rPr>
          <w:rFonts w:ascii="Arial" w:cs="Arial" w:eastAsia="Arial" w:hAnsi="Arial"/>
          <w:sz w:val="22"/>
          <w:szCs w:val="22"/>
        </w:rPr>
        <w:t xml:space="preserve">City of Perth. (2026). Amendment No. 41 — Northbridge Special Entertainment Precinct. Government Gazette, 6 February 2026.</w:t>
      </w:r>
    </w:p>
    <w:p>
      <w:pPr>
        <w:pStyle w:val="ListParagraph"/>
        <w:numPr>
          <w:ilvl w:val="0"/>
          <w:numId w:val="2"/>
        </w:numPr>
        <w:spacing w:after="40" w:before="40"/>
      </w:pPr>
      <w:r>
        <w:rPr>
          <w:rFonts w:ascii="Arial" w:cs="Arial" w:eastAsia="Arial" w:hAnsi="Arial"/>
          <w:sz w:val="22"/>
          <w:szCs w:val="22"/>
        </w:rPr>
        <w:t xml:space="preserve">City of Perth. (2024). Draft Building Heights and Setbacks Local Planning Policy. City of Perth Council, November 2024.</w:t>
      </w:r>
    </w:p>
    <w:p>
      <w:pPr>
        <w:pStyle w:val="ListParagraph"/>
        <w:numPr>
          <w:ilvl w:val="0"/>
          <w:numId w:val="2"/>
        </w:numPr>
        <w:spacing w:after="40" w:before="40"/>
      </w:pPr>
      <w:r>
        <w:rPr>
          <w:rFonts w:ascii="Arial" w:cs="Arial" w:eastAsia="Arial" w:hAnsi="Arial"/>
          <w:sz w:val="22"/>
          <w:szCs w:val="22"/>
        </w:rPr>
        <w:t xml:space="preserve">Western Australian Planning Commission. (2010). State Planning Policy 4.2 — Activity Centres for Perth and Peel. WAPC, Perth.</w:t>
      </w:r>
    </w:p>
    <w:p>
      <w:pPr>
        <w:pStyle w:val="ListParagraph"/>
        <w:numPr>
          <w:ilvl w:val="0"/>
          <w:numId w:val="2"/>
        </w:numPr>
        <w:spacing w:after="40" w:before="40"/>
      </w:pPr>
      <w:r>
        <w:rPr>
          <w:rFonts w:ascii="Arial" w:cs="Arial" w:eastAsia="Arial" w:hAnsi="Arial"/>
          <w:sz w:val="22"/>
          <w:szCs w:val="22"/>
        </w:rPr>
        <w:t xml:space="preserve">RWC WA. (2024). 30 Beaufort Street, Perth — Development Potential. DevelopmentReady listing. https://www.developmentready.com.au</w:t>
      </w:r>
    </w:p>
    <w:p>
      <w:pPr>
        <w:pStyle w:val="Heading2"/>
        <w:spacing w:after="80" w:before="240"/>
      </w:pPr>
      <w:r>
        <w:rPr>
          <w:rFonts w:ascii="Arial" w:cs="Arial" w:eastAsia="Arial" w:hAnsi="Arial"/>
          <w:b/>
          <w:bCs/>
          <w:color w:val="2E6B2E"/>
          <w:sz w:val="26"/>
          <w:szCs w:val="26"/>
        </w:rPr>
        <w:t xml:space="preserve">7.2 Cadastral and Spatial Data</w:t>
      </w:r>
    </w:p>
    <w:p>
      <w:pPr>
        <w:pStyle w:val="ListParagraph"/>
        <w:numPr>
          <w:ilvl w:val="0"/>
          <w:numId w:val="2"/>
        </w:numPr>
        <w:spacing w:after="40" w:before="40"/>
      </w:pPr>
      <w:r>
        <w:rPr>
          <w:rFonts w:ascii="Arial" w:cs="Arial" w:eastAsia="Arial" w:hAnsi="Arial"/>
          <w:sz w:val="22"/>
          <w:szCs w:val="22"/>
        </w:rPr>
        <w:t xml:space="preserve">Landgate. (2026). Cadastre Address (LGATE-002). Shared Location Information Platform (SLIP). Western Australian Land Information Authority. https://catalogue.data.wa.gov.au</w:t>
      </w:r>
    </w:p>
    <w:p>
      <w:pPr>
        <w:pStyle w:val="ListParagraph"/>
        <w:numPr>
          <w:ilvl w:val="0"/>
          <w:numId w:val="2"/>
        </w:numPr>
        <w:spacing w:after="40" w:before="40"/>
      </w:pPr>
      <w:r>
        <w:rPr>
          <w:rFonts w:ascii="Arial" w:cs="Arial" w:eastAsia="Arial" w:hAnsi="Arial"/>
          <w:sz w:val="22"/>
          <w:szCs w:val="22"/>
        </w:rPr>
        <w:t xml:space="preserve">Landgate. (2026). SLIP Locate V5. https://maps.slip.wa.gov.au/landgate/locate/</w:t>
      </w:r>
    </w:p>
    <w:p>
      <w:pPr>
        <w:pStyle w:val="ListParagraph"/>
        <w:numPr>
          <w:ilvl w:val="0"/>
          <w:numId w:val="2"/>
        </w:numPr>
        <w:spacing w:after="40" w:before="40"/>
      </w:pPr>
      <w:r>
        <w:rPr>
          <w:rFonts w:ascii="Arial" w:cs="Arial" w:eastAsia="Arial" w:hAnsi="Arial"/>
          <w:sz w:val="22"/>
          <w:szCs w:val="22"/>
        </w:rPr>
        <w:t xml:space="preserve">Landgate. (2026). Places and Addresses MapServer — API Endpoint. https://public-services.slip.wa.gov.au/public/rest/services/SLIP_Public_Services/Places_and_Addresses/MapServer/</w:t>
      </w:r>
    </w:p>
    <w:p>
      <w:pPr>
        <w:pStyle w:val="ListParagraph"/>
        <w:numPr>
          <w:ilvl w:val="0"/>
          <w:numId w:val="2"/>
        </w:numPr>
        <w:spacing w:after="40" w:before="40"/>
      </w:pPr>
      <w:r>
        <w:rPr>
          <w:rFonts w:ascii="Arial" w:cs="Arial" w:eastAsia="Arial" w:hAnsi="Arial"/>
          <w:sz w:val="22"/>
          <w:szCs w:val="22"/>
        </w:rPr>
        <w:t xml:space="preserve">City of Perth. (2026). CPS2 Maximum Building Height — GIS Dataset. City of Perth GeoHub. https://geohub-perth.opendata.arcgis.com</w:t>
      </w:r>
    </w:p>
    <w:p>
      <w:pPr>
        <w:pStyle w:val="Heading2"/>
        <w:spacing w:after="80" w:before="240"/>
      </w:pPr>
      <w:r>
        <w:rPr>
          <w:rFonts w:ascii="Arial" w:cs="Arial" w:eastAsia="Arial" w:hAnsi="Arial"/>
          <w:b/>
          <w:bCs/>
          <w:color w:val="2E6B2E"/>
          <w:sz w:val="26"/>
          <w:szCs w:val="26"/>
        </w:rPr>
        <w:t xml:space="preserve">7.3 Energy Efficiency and NCC</w:t>
      </w:r>
    </w:p>
    <w:p>
      <w:pPr>
        <w:pStyle w:val="ListParagraph"/>
        <w:numPr>
          <w:ilvl w:val="0"/>
          <w:numId w:val="2"/>
        </w:numPr>
        <w:spacing w:after="40" w:before="40"/>
      </w:pPr>
      <w:r>
        <w:rPr>
          <w:rFonts w:ascii="Arial" w:cs="Arial" w:eastAsia="Arial" w:hAnsi="Arial"/>
          <w:sz w:val="22"/>
          <w:szCs w:val="22"/>
        </w:rPr>
        <w:t xml:space="preserve">Australian Building Codes Board. (2022). National Construction Code 2022 — Volume One, Section J: Energy Efficiency. ABCB, Canberra. https://www.abcb.gov.au</w:t>
      </w:r>
    </w:p>
    <w:p>
      <w:pPr>
        <w:pStyle w:val="ListParagraph"/>
        <w:numPr>
          <w:ilvl w:val="0"/>
          <w:numId w:val="2"/>
        </w:numPr>
        <w:spacing w:after="40" w:before="40"/>
      </w:pPr>
      <w:r>
        <w:rPr>
          <w:rFonts w:ascii="Arial" w:cs="Arial" w:eastAsia="Arial" w:hAnsi="Arial"/>
          <w:sz w:val="22"/>
          <w:szCs w:val="22"/>
        </w:rPr>
        <w:t xml:space="preserve">Green Choice Consulting. (2026). NCC 2025 Section J — What Commercial Builders Need to Know. https://greenchoiceconsulting.com.au</w:t>
      </w:r>
    </w:p>
    <w:p>
      <w:pPr>
        <w:pStyle w:val="ListParagraph"/>
        <w:numPr>
          <w:ilvl w:val="0"/>
          <w:numId w:val="2"/>
        </w:numPr>
        <w:spacing w:after="40" w:before="40"/>
      </w:pPr>
      <w:r>
        <w:rPr>
          <w:rFonts w:ascii="Arial" w:cs="Arial" w:eastAsia="Arial" w:hAnsi="Arial"/>
          <w:sz w:val="22"/>
          <w:szCs w:val="22"/>
        </w:rPr>
        <w:t xml:space="preserve">TBB Planning. (2022). NCC 2022 Energy Efficiency Changes — What You Need to Know (WA Edition). https://tbbplanning.com.au</w:t>
      </w:r>
    </w:p>
    <w:p>
      <w:pPr>
        <w:pStyle w:val="ListParagraph"/>
        <w:numPr>
          <w:ilvl w:val="0"/>
          <w:numId w:val="2"/>
        </w:numPr>
        <w:spacing w:after="40" w:before="40"/>
      </w:pPr>
      <w:r>
        <w:rPr>
          <w:rFonts w:ascii="Arial" w:cs="Arial" w:eastAsia="Arial" w:hAnsi="Arial"/>
          <w:sz w:val="22"/>
          <w:szCs w:val="22"/>
        </w:rPr>
        <w:t xml:space="preserve">WA Department of Mines, Industry Regulation and Safety. (2024). NCC 2022 Implementation in Western Australia — Staged Rollout. DMIRS, Perth. https://www.dmirs.wa.gov.au</w:t>
      </w:r>
    </w:p>
    <w:p>
      <w:pPr>
        <w:pStyle w:val="Heading2"/>
        <w:spacing w:after="80" w:before="240"/>
      </w:pPr>
      <w:r>
        <w:rPr>
          <w:rFonts w:ascii="Arial" w:cs="Arial" w:eastAsia="Arial" w:hAnsi="Arial"/>
          <w:b/>
          <w:bCs/>
          <w:color w:val="2E6B2E"/>
          <w:sz w:val="26"/>
          <w:szCs w:val="26"/>
        </w:rPr>
        <w:t xml:space="preserve">7.4 NABERS</w:t>
      </w:r>
    </w:p>
    <w:p>
      <w:pPr>
        <w:pStyle w:val="ListParagraph"/>
        <w:numPr>
          <w:ilvl w:val="0"/>
          <w:numId w:val="2"/>
        </w:numPr>
        <w:spacing w:after="40" w:before="40"/>
      </w:pPr>
      <w:r>
        <w:rPr>
          <w:rFonts w:ascii="Arial" w:cs="Arial" w:eastAsia="Arial" w:hAnsi="Arial"/>
          <w:sz w:val="22"/>
          <w:szCs w:val="22"/>
        </w:rPr>
        <w:t xml:space="preserve">NABERS. (2024). NABERS Policy Toolkit (August 2024 Edition). NSW Department of Climate Change, Energy, the Environment and Water. https://www.nabers.gov.au</w:t>
      </w:r>
    </w:p>
    <w:p>
      <w:pPr>
        <w:pStyle w:val="ListParagraph"/>
        <w:numPr>
          <w:ilvl w:val="0"/>
          <w:numId w:val="2"/>
        </w:numPr>
        <w:spacing w:after="40" w:before="40"/>
      </w:pPr>
      <w:r>
        <w:rPr>
          <w:rFonts w:ascii="Arial" w:cs="Arial" w:eastAsia="Arial" w:hAnsi="Arial"/>
          <w:sz w:val="22"/>
          <w:szCs w:val="22"/>
        </w:rPr>
        <w:t xml:space="preserve">Australian Government. (2010). Building Energy Efficiency Disclosure Act 2010 (BEED Act). Cth. https://www.cbd.gov.au</w:t>
      </w:r>
    </w:p>
    <w:p>
      <w:pPr>
        <w:pStyle w:val="ListParagraph"/>
        <w:numPr>
          <w:ilvl w:val="0"/>
          <w:numId w:val="2"/>
        </w:numPr>
        <w:spacing w:after="40" w:before="40"/>
      </w:pPr>
      <w:r>
        <w:rPr>
          <w:rFonts w:ascii="Arial" w:cs="Arial" w:eastAsia="Arial" w:hAnsi="Arial"/>
          <w:sz w:val="22"/>
          <w:szCs w:val="22"/>
        </w:rPr>
        <w:t xml:space="preserve">Commercial Building Disclosure Program. (2024). NABERS Energy for Offices Ratings. https://www.cbd.gov.au</w:t>
      </w:r>
    </w:p>
    <w:p>
      <w:pPr>
        <w:pStyle w:val="ListParagraph"/>
        <w:numPr>
          <w:ilvl w:val="0"/>
          <w:numId w:val="2"/>
        </w:numPr>
        <w:spacing w:after="40" w:before="40"/>
      </w:pPr>
      <w:r>
        <w:rPr>
          <w:rFonts w:ascii="Arial" w:cs="Arial" w:eastAsia="Arial" w:hAnsi="Arial"/>
          <w:sz w:val="22"/>
          <w:szCs w:val="22"/>
        </w:rPr>
        <w:t xml:space="preserve">NABERS. (2024). Commitment Agreements — New and Refurbished Buildings. https://www.nabers.gov.au/ratings/commitment-agreements</w:t>
      </w:r>
    </w:p>
    <w:p>
      <w:pPr>
        <w:pStyle w:val="Heading2"/>
        <w:spacing w:after="80" w:before="240"/>
      </w:pPr>
      <w:r>
        <w:rPr>
          <w:rFonts w:ascii="Arial" w:cs="Arial" w:eastAsia="Arial" w:hAnsi="Arial"/>
          <w:b/>
          <w:bCs/>
          <w:color w:val="2E6B2E"/>
          <w:sz w:val="26"/>
          <w:szCs w:val="26"/>
        </w:rPr>
        <w:t xml:space="preserve">7.5 Green Star</w:t>
      </w:r>
    </w:p>
    <w:p>
      <w:pPr>
        <w:pStyle w:val="ListParagraph"/>
        <w:numPr>
          <w:ilvl w:val="0"/>
          <w:numId w:val="2"/>
        </w:numPr>
        <w:spacing w:after="40" w:before="40"/>
      </w:pPr>
      <w:r>
        <w:rPr>
          <w:rFonts w:ascii="Arial" w:cs="Arial" w:eastAsia="Arial" w:hAnsi="Arial"/>
          <w:sz w:val="22"/>
          <w:szCs w:val="22"/>
        </w:rPr>
        <w:t xml:space="preserve">Green Building Council of Australia. (2024). Green Star Buildings v1 — Submission Guidelines. GBCA, Sydney. https://new.gbca.org.au</w:t>
      </w:r>
    </w:p>
    <w:p>
      <w:pPr>
        <w:pStyle w:val="ListParagraph"/>
        <w:numPr>
          <w:ilvl w:val="0"/>
          <w:numId w:val="2"/>
        </w:numPr>
        <w:spacing w:after="40" w:before="40"/>
      </w:pPr>
      <w:r>
        <w:rPr>
          <w:rFonts w:ascii="Arial" w:cs="Arial" w:eastAsia="Arial" w:hAnsi="Arial"/>
          <w:sz w:val="22"/>
          <w:szCs w:val="22"/>
        </w:rPr>
        <w:t xml:space="preserve">Green Building Council of Australia. (2024). Green Star Buildings — Apartments Pathway v1 Revision A (February 2025). GBCA.</w:t>
      </w:r>
    </w:p>
    <w:p>
      <w:pPr>
        <w:pStyle w:val="ListParagraph"/>
        <w:numPr>
          <w:ilvl w:val="0"/>
          <w:numId w:val="2"/>
        </w:numPr>
        <w:spacing w:after="40" w:before="40"/>
      </w:pPr>
      <w:r>
        <w:rPr>
          <w:rFonts w:ascii="Arial" w:cs="Arial" w:eastAsia="Arial" w:hAnsi="Arial"/>
          <w:sz w:val="22"/>
          <w:szCs w:val="22"/>
        </w:rPr>
        <w:t xml:space="preserve">Australian Building Codes Board. (2017). Green Star and the NCC — Performance Solution Guidance. ABCB. https://www.abcb.gov.au</w:t>
      </w:r>
    </w:p>
    <w:p>
      <w:pPr>
        <w:pStyle w:val="ListParagraph"/>
        <w:numPr>
          <w:ilvl w:val="0"/>
          <w:numId w:val="2"/>
        </w:numPr>
        <w:spacing w:after="40" w:before="40"/>
      </w:pPr>
      <w:r>
        <w:rPr>
          <w:rFonts w:ascii="Arial" w:cs="Arial" w:eastAsia="Arial" w:hAnsi="Arial"/>
          <w:sz w:val="22"/>
          <w:szCs w:val="22"/>
        </w:rPr>
        <w:t xml:space="preserve">Energy Compliance. (2025). Green Star Rating — Energy Compliance Guide. https://energycompliance.com.au</w:t>
      </w:r>
    </w:p>
    <w:p>
      <w:pPr>
        <w:pStyle w:val="Heading2"/>
        <w:spacing w:after="80" w:before="240"/>
      </w:pPr>
      <w:r>
        <w:rPr>
          <w:rFonts w:ascii="Arial" w:cs="Arial" w:eastAsia="Arial" w:hAnsi="Arial"/>
          <w:b/>
          <w:bCs/>
          <w:color w:val="2E6B2E"/>
          <w:sz w:val="26"/>
          <w:szCs w:val="26"/>
        </w:rPr>
        <w:t xml:space="preserve">7.6 Green Plot Ratio</w:t>
      </w:r>
    </w:p>
    <w:p>
      <w:pPr>
        <w:pStyle w:val="ListParagraph"/>
        <w:numPr>
          <w:ilvl w:val="0"/>
          <w:numId w:val="2"/>
        </w:numPr>
        <w:spacing w:after="40" w:before="40"/>
      </w:pPr>
      <w:r>
        <w:rPr>
          <w:rFonts w:ascii="Arial" w:cs="Arial" w:eastAsia="Arial" w:hAnsi="Arial"/>
          <w:sz w:val="22"/>
          <w:szCs w:val="22"/>
        </w:rPr>
        <w:t xml:space="preserve">Ong, B.L. (2003). Green Plot Ratio: An Ecological Measure for Architecture and Urban Planning. Landscape and Urban Planning, 63(4), 197–211.</w:t>
      </w:r>
    </w:p>
    <w:p>
      <w:pPr>
        <w:pStyle w:val="ListParagraph"/>
        <w:numPr>
          <w:ilvl w:val="0"/>
          <w:numId w:val="2"/>
        </w:numPr>
        <w:spacing w:after="40" w:before="40"/>
      </w:pPr>
      <w:r>
        <w:rPr>
          <w:rFonts w:ascii="Arial" w:cs="Arial" w:eastAsia="Arial" w:hAnsi="Arial"/>
          <w:sz w:val="22"/>
          <w:szCs w:val="22"/>
        </w:rPr>
        <w:t xml:space="preserve">Ong, B.L. &amp; Tan, P.Y. Field LAI Measurements — Singapore Urban Species (37 species). Unpublished data, Curtin University. Primary source for GPRTool LAI database.</w:t>
      </w:r>
    </w:p>
    <w:p>
      <w:pPr>
        <w:pStyle w:val="ListParagraph"/>
        <w:numPr>
          <w:ilvl w:val="0"/>
          <w:numId w:val="2"/>
        </w:numPr>
        <w:spacing w:after="40" w:before="40"/>
      </w:pPr>
      <w:r>
        <w:rPr>
          <w:rFonts w:ascii="Arial" w:cs="Arial" w:eastAsia="Arial" w:hAnsi="Arial"/>
          <w:sz w:val="22"/>
          <w:szCs w:val="22"/>
        </w:rPr>
        <w:t xml:space="preserve">Building and Construction Authority (BCA) Singapore. (2023). Green Mark 2021 — Greenery Provisions and GPR Requirements. BCA, Singapore. https://www.bca.gov.sg</w:t>
      </w:r>
    </w:p>
    <w:p>
      <w:pPr>
        <w:pStyle w:val="ListParagraph"/>
        <w:numPr>
          <w:ilvl w:val="0"/>
          <w:numId w:val="2"/>
        </w:numPr>
        <w:spacing w:after="40" w:before="40"/>
      </w:pPr>
      <w:r>
        <w:rPr>
          <w:rFonts w:ascii="Arial" w:cs="Arial" w:eastAsia="Arial" w:hAnsi="Arial"/>
          <w:sz w:val="22"/>
          <w:szCs w:val="22"/>
        </w:rPr>
        <w:t xml:space="preserve">Tan, P.Y., Wang, J., &amp; Sia, A. (2013). Perspectives on five decades of the urban greening of Singapore. Cities, 32, 24–32.</w:t>
      </w:r>
    </w:p>
    <w:p>
      <w:pPr>
        <w:pStyle w:val="Heading2"/>
        <w:spacing w:after="80" w:before="240"/>
      </w:pPr>
      <w:r>
        <w:rPr>
          <w:rFonts w:ascii="Arial" w:cs="Arial" w:eastAsia="Arial" w:hAnsi="Arial"/>
          <w:b/>
          <w:bCs/>
          <w:color w:val="2E6B2E"/>
          <w:sz w:val="26"/>
          <w:szCs w:val="26"/>
        </w:rPr>
        <w:t xml:space="preserve">7.7 Perth Urban Context</w:t>
      </w:r>
    </w:p>
    <w:p>
      <w:pPr>
        <w:pStyle w:val="ListParagraph"/>
        <w:numPr>
          <w:ilvl w:val="0"/>
          <w:numId w:val="2"/>
        </w:numPr>
        <w:spacing w:after="40" w:before="40"/>
      </w:pPr>
      <w:r>
        <w:rPr>
          <w:rFonts w:ascii="Arial" w:cs="Arial" w:eastAsia="Arial" w:hAnsi="Arial"/>
          <w:sz w:val="22"/>
          <w:szCs w:val="22"/>
        </w:rPr>
        <w:t xml:space="preserve">City of Perth. (2025). Northbridge Neighbourhood Plan. City of Perth. https://perth.wa.gov.au/community/neighbourhoods/northbridge</w:t>
      </w:r>
    </w:p>
    <w:p>
      <w:pPr>
        <w:pStyle w:val="ListParagraph"/>
        <w:numPr>
          <w:ilvl w:val="0"/>
          <w:numId w:val="2"/>
        </w:numPr>
        <w:spacing w:after="40" w:before="40"/>
      </w:pPr>
      <w:r>
        <w:rPr>
          <w:rFonts w:ascii="Arial" w:cs="Arial" w:eastAsia="Arial" w:hAnsi="Arial"/>
          <w:sz w:val="22"/>
          <w:szCs w:val="22"/>
        </w:rPr>
        <w:t xml:space="preserve">City of Perth. (2025). James Street Revitalisation. https://perth.wa.gov.au/building-and-planning/future-perth/major-projects/james-street-revitalisation</w:t>
      </w:r>
    </w:p>
    <w:p>
      <w:pPr>
        <w:pStyle w:val="ListParagraph"/>
        <w:numPr>
          <w:ilvl w:val="0"/>
          <w:numId w:val="2"/>
        </w:numPr>
        <w:spacing w:after="40" w:before="40"/>
      </w:pPr>
      <w:r>
        <w:rPr>
          <w:rFonts w:ascii="Arial" w:cs="Arial" w:eastAsia="Arial" w:hAnsi="Arial"/>
          <w:sz w:val="22"/>
          <w:szCs w:val="22"/>
        </w:rPr>
        <w:t xml:space="preserve">DevelopmentWA. (2023). Perth City Link — Project Overview. https://developmentwa.com.au</w:t>
      </w:r>
    </w:p>
    <w:p>
      <w:r>
        <w:br w:type="page"/>
      </w:r>
    </w:p>
    <w:p>
      <w:pPr>
        <w:pStyle w:val="Heading1"/>
        <w:pBdr>
          <w:bottom w:val="single" w:color="2E6B2E" w:sz="6" w:space="1"/>
        </w:pBdr>
        <w:spacing w:after="120" w:before="360"/>
      </w:pPr>
      <w:r>
        <w:rPr>
          <w:rFonts w:ascii="Arial" w:cs="Arial" w:eastAsia="Arial" w:hAnsi="Arial"/>
          <w:b/>
          <w:bCs/>
          <w:color w:val="1E3D1E"/>
          <w:sz w:val="32"/>
          <w:szCs w:val="32"/>
        </w:rPr>
        <w:t xml:space="preserve">Disclaimer</w:t>
      </w:r>
    </w:p>
    <w:p>
      <w:pPr>
        <w:spacing w:after="120" w:before="60"/>
      </w:pPr>
      <w:r>
        <w:rPr>
          <w:rFonts w:ascii="Arial" w:cs="Arial" w:eastAsia="Arial" w:hAnsi="Arial"/>
          <w:sz w:val="22"/>
          <w:szCs w:val="22"/>
        </w:rPr>
        <w:t xml:space="preserve">This document has been prepared for demonstration purposes as part of the GPRTool development workflow. All planning information is sourced from publicly available documents and reflects conditions as understood in March 2026. Planning schemes, height limits, permitted uses, and sustainability requirements are subject to change. This report does not constitute professional planning, architectural, legal, or investment advice. All development proposals must be assessed against current statutory instruments and through consultation with the City of Perth and relevant state agencies.</w:t>
      </w:r>
    </w:p>
    <w:p>
      <w:pPr>
        <w:spacing w:after="120" w:before="120"/>
      </w:pPr>
      <w:r>
        <w:t xml:space="preserve"/>
      </w:r>
    </w:p>
    <w:p>
      <w:pPr>
        <w:spacing w:after="120" w:before="60"/>
      </w:pPr>
      <w:r>
        <w:rPr>
          <w:rFonts w:ascii="Arial" w:cs="Arial" w:eastAsia="Arial" w:hAnsi="Arial"/>
          <w:sz w:val="22"/>
          <w:szCs w:val="22"/>
        </w:rPr>
        <w:t xml:space="preserve">Cadastral boundary data to be sourced from Landgate SLIP (WA Land Titles Register) for survey-accurate site geometry. The site boundary used in GPRTool for this demonstration is sourced from the public cadastral service at public-services.slip.wa.gov.au and is subject to Landgate’s Personal Use Licence conditions.</w:t>
      </w:r>
    </w:p>
    <w:p>
      <w:pPr>
        <w:spacing w:after="120" w:before="120"/>
      </w:pPr>
      <w:r>
        <w:t xml:space="preserve"/>
      </w:r>
    </w:p>
    <w:p>
      <w:pPr>
        <w:pBdr>
          <w:top w:val="single" w:color="2E6B2E" w:sz="4" w:space="4"/>
        </w:pBdr>
        <w:spacing w:after="60" w:before="240"/>
      </w:pPr>
      <w:r>
        <w:rPr>
          <w:rFonts w:ascii="Arial" w:cs="Arial" w:eastAsia="Arial" w:hAnsi="Arial"/>
          <w:i/>
          <w:iCs/>
          <w:color w:val="777777"/>
          <w:sz w:val="18"/>
          <w:szCs w:val="18"/>
        </w:rPr>
        <w:t xml:space="preserve">GPRTool — Green Plot Ratio Calculator | Curtin University |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D1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B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2026-03-26T07:39:44.213Z</dcterms:created>
  <dcterms:modified xsi:type="dcterms:W3CDTF">2026-03-26T07:39:44.213Z</dcterms:modified>
</cp:coreProperties>
</file>

<file path=docProps/custom.xml><?xml version="1.0" encoding="utf-8"?>
<Properties xmlns="http://schemas.openxmlformats.org/officeDocument/2006/custom-properties" xmlns:vt="http://schemas.openxmlformats.org/officeDocument/2006/docPropsVTypes"/>
</file>