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Charter of the Green Plot Ratio Institute (GPRI)</w:t>
      </w:r>
    </w:p>
    <w:p>
      <w:r>
        <w:rPr>
          <w:b/>
          <w:bCs/>
          <w:rStyle w:val="Normal"/>
        </w:rPr>
        <w:t xml:space="preserve">Date:</w:t>
      </w:r>
      <w:r>
        <w:rPr>
          <w:rStyle w:val="Normal"/>
        </w:rPr>
        <w:t xml:space="preserve"> 21 April 2026</w:t>
      </w:r>
    </w:p>
    <w:p>
      <w:r>
        <w:rPr>
          <w:b/>
          <w:bCs/>
          <w:rStyle w:val="Normal"/>
        </w:rPr>
        <w:t xml:space="preserve">Status:</w:t>
      </w:r>
      <w:r>
        <w:rPr>
          <w:rStyle w:val="Normal"/>
        </w:rPr>
        <w:t xml:space="preserve"> Founding Governance Document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1. Purpose and Vision</w:t>
      </w:r>
    </w:p>
    <w:p>
      <w:r>
        <w:rPr>
          <w:rStyle w:val="Normal"/>
        </w:rPr>
        <w:t xml:space="preserve">The </w:t>
      </w:r>
      <w:r>
        <w:rPr>
          <w:b/>
          <w:bCs/>
          <w:rStyle w:val="Normal"/>
        </w:rPr>
        <w:t xml:space="preserve">Green Plot Ratio Institute (GPRI)</w:t>
      </w:r>
      <w:r>
        <w:rPr>
          <w:rStyle w:val="Normal"/>
        </w:rPr>
        <w:t xml:space="preserve"> is established as a research and standards-based organization dedicated to advancing </w:t>
      </w:r>
      <w:r>
        <w:rPr>
          <w:b/>
          <w:bCs/>
          <w:rStyle w:val="Normal"/>
        </w:rPr>
        <w:t xml:space="preserve">ecological urbanism through measurable, scientific, and practicable means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GPRI functions as a </w:t>
      </w:r>
      <w:r>
        <w:rPr>
          <w:b/>
          <w:bCs/>
          <w:rStyle w:val="Normal"/>
        </w:rPr>
        <w:t xml:space="preserve">research infrastructure for the implementation of ecological urbanism</w:t>
      </w:r>
      <w:r>
        <w:rPr>
          <w:rStyle w:val="Normal"/>
        </w:rPr>
        <w:t xml:space="preserve">. Its purpose is to translate ecological intent into </w:t>
      </w:r>
      <w:r>
        <w:rPr>
          <w:b/>
          <w:bCs/>
          <w:rStyle w:val="Normal"/>
        </w:rPr>
        <w:t xml:space="preserve">quantifiable, transparent, and reproducible urban outcomes</w:t>
      </w:r>
      <w:r>
        <w:rPr>
          <w:rStyle w:val="Normal"/>
        </w:rPr>
        <w:t xml:space="preserve">, enabling designers, researchers, and public authorities to evaluate the environmental performance of the built environment with scientific rigor.</w:t>
      </w:r>
    </w:p>
    <w:p>
      <w:r>
        <w:rPr>
          <w:rStyle w:val="Normal"/>
        </w:rPr>
        <w:t xml:space="preserve">GPRI is founded on the principle of </w:t>
      </w:r>
      <w:r>
        <w:rPr>
          <w:b/>
          <w:bCs/>
          <w:rStyle w:val="Normal"/>
        </w:rPr>
        <w:t xml:space="preserve">scientific honesty</w:t>
      </w:r>
      <w:r>
        <w:rPr>
          <w:rStyle w:val="Normal"/>
        </w:rPr>
        <w:t xml:space="preserve">: that meaningful ecological claims must be grounded in measurable quantities, explicit assumptions, and methodologies that can be examined, tested, and improved over time.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2. Core Mission</w:t>
      </w:r>
    </w:p>
    <w:p>
      <w:r>
        <w:rPr>
          <w:rStyle w:val="Normal"/>
        </w:rPr>
        <w:t xml:space="preserve">GPRI’s mission is to establish the </w:t>
      </w:r>
      <w:r>
        <w:rPr>
          <w:b/>
          <w:bCs/>
          <w:rStyle w:val="Normal"/>
        </w:rPr>
        <w:t xml:space="preserve">Green Plot Ratio (GPR)</w:t>
      </w:r>
      <w:r>
        <w:rPr>
          <w:rStyle w:val="Normal"/>
        </w:rPr>
        <w:t xml:space="preserve"> and its underlying Leaf Area Index (LAI) methodology as a globally consistent yardstick for evaluating urban greenery, ecological contribution, and environmental performance in cities.</w:t>
      </w:r>
    </w:p>
    <w:p>
      <w:r>
        <w:rPr>
          <w:rStyle w:val="Normal"/>
        </w:rPr>
        <w:t xml:space="preserve">The Institute seeks 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Improve the </w:t>
      </w:r>
      <w:r>
        <w:rPr>
          <w:b/>
          <w:bCs/>
          <w:rStyle w:val="Normal"/>
        </w:rPr>
        <w:t xml:space="preserve">quality of science</w:t>
      </w:r>
      <w:r>
        <w:rPr>
          <w:rStyle w:val="Normal"/>
        </w:rPr>
        <w:t xml:space="preserve"> underpinning ecological design claims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Enable </w:t>
      </w:r>
      <w:r>
        <w:rPr>
          <w:b/>
          <w:bCs/>
          <w:rStyle w:val="Normal"/>
        </w:rPr>
        <w:t xml:space="preserve">measurable and meaningful environmental outcomes</w:t>
      </w:r>
      <w:r>
        <w:rPr>
          <w:rStyle w:val="Normal"/>
        </w:rPr>
        <w:t xml:space="preserve"> rather than symbolic or unverified assertions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Provide a practical platform that supports design, research, and policy through shared metrics</w:t>
      </w:r>
    </w:p>
    <w:p>
      <w:r>
        <w:rPr>
          <w:rStyle w:val="Normal"/>
        </w:rPr>
        <w:t xml:space="preserve">Adoption of GPRI standards is intended to be </w:t>
      </w:r>
      <w:r>
        <w:rPr>
          <w:b/>
          <w:bCs/>
          <w:rStyle w:val="Normal"/>
        </w:rPr>
        <w:t xml:space="preserve">voluntary and value-driven</w:t>
      </w:r>
      <w:r>
        <w:rPr>
          <w:rStyle w:val="Normal"/>
        </w:rPr>
        <w:t xml:space="preserve">, supported by demonstrable utility rather than regulatory obligation.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 The GPRI Operational Framework</w:t>
      </w:r>
    </w:p>
    <w:p>
      <w:r>
        <w:rPr>
          <w:rStyle w:val="Normal"/>
        </w:rPr>
        <w:t xml:space="preserve">GPRI operates through an integrated framework designed to align research integrity, practical application, and long-term credibility.</w:t>
      </w:r>
    </w:p>
    <w:p>
      <w:pPr>
        <w:pStyle w:val="Heading4"/>
      </w:pPr>
      <w:r>
        <w:rPr>
          <w:rStyle w:val="Normal"/>
        </w:rPr>
        <w:t xml:space="preserve">3.1 GPRTool – Measurement Platform</w:t>
      </w:r>
    </w:p>
    <w:p>
      <w:r>
        <w:rPr>
          <w:rStyle w:val="Normal"/>
        </w:rPr>
        <w:t xml:space="preserve">GPRTool is the primary operational instrument of GPRI. It is a web-based analytical platform designed 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Calculate Green Plot Ratio using spatially explicit LAI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Regularise the derivation and application of LAI values across contexts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Provide a transparent and repeatable methodology for ecological assessment</w:t>
      </w:r>
    </w:p>
    <w:p>
      <w:r>
        <w:rPr>
          <w:rStyle w:val="Normal"/>
        </w:rPr>
        <w:t xml:space="preserve">GPRTool serves as the mechanism through which LAI values are consolidated, tested through widespread use, and progressively refined through research and feedback from practice.</w:t>
      </w:r>
    </w:p>
    <w:p>
      <w:r>
        <w:rPr>
          <w:rStyle w:val="Normal"/>
        </w:rPr>
        <w:t xml:space="preserve">Adoption of GPRTool is expected to be driven by its usefulness as a </w:t>
      </w:r>
      <w:r>
        <w:rPr>
          <w:b/>
          <w:bCs/>
          <w:rStyle w:val="Normal"/>
        </w:rPr>
        <w:t xml:space="preserve">credible quantitative instrument</w:t>
      </w:r>
      <w:r>
        <w:rPr>
          <w:rStyle w:val="Normal"/>
        </w:rPr>
        <w:t xml:space="preserve"> supporting design justification, comparative analysis, and environmental reporting.</w:t>
      </w:r>
    </w:p>
    <w:p>
      <w:pPr>
        <w:pStyle w:val="Heading4"/>
      </w:pPr>
      <w:r>
        <w:rPr>
          <w:rStyle w:val="Normal"/>
        </w:rPr>
        <w:t xml:space="preserve">3.2 Global LAI Reference Framework</w:t>
      </w:r>
    </w:p>
    <w:p>
      <w:r>
        <w:rPr>
          <w:rStyle w:val="Normal"/>
        </w:rPr>
        <w:t xml:space="preserve">GPRI maintains an open and extensible LAI reference framework grounded in established global datasets, including recognised international research repositories.</w:t>
      </w:r>
    </w:p>
    <w:p>
      <w:r>
        <w:rPr>
          <w:rStyle w:val="Normal"/>
        </w:rPr>
        <w:t xml:space="preserve">This framework is not a fixed or proprietary catalogue, but a </w:t>
      </w:r>
      <w:r>
        <w:rPr>
          <w:b/>
          <w:bCs/>
          <w:rStyle w:val="Normal"/>
        </w:rPr>
        <w:t xml:space="preserve">living research asset</w:t>
      </w:r>
      <w:r>
        <w:rPr>
          <w:rStyle w:val="Normal"/>
        </w:rPr>
        <w:t xml:space="preserve"> shaped by: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Peer-reviewed scientific sources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Ongoing academic research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Empirical validation through applied projects</w:t>
      </w:r>
    </w:p>
    <w:p>
      <w:r>
        <w:rPr>
          <w:rStyle w:val="Normal"/>
        </w:rPr>
        <w:t xml:space="preserve">GPRI’s role is to provide methodological consistency and transparency in how LAI values are selected, derived, applied, and reviewed.</w:t>
      </w:r>
    </w:p>
    <w:p>
      <w:pPr>
        <w:pStyle w:val="Heading4"/>
      </w:pPr>
      <w:r>
        <w:rPr>
          <w:rStyle w:val="Normal"/>
        </w:rPr>
        <w:t xml:space="preserve">3.3 Certification – Methodological Rigor and Robustness</w:t>
      </w:r>
    </w:p>
    <w:p>
      <w:r>
        <w:rPr>
          <w:rStyle w:val="Normal"/>
        </w:rPr>
        <w:t xml:space="preserve">GPRI certification is offered as an </w:t>
      </w:r>
      <w:r>
        <w:rPr>
          <w:b/>
          <w:bCs/>
          <w:rStyle w:val="Normal"/>
        </w:rPr>
        <w:t xml:space="preserve">independent verification of methodological rigor</w:t>
      </w:r>
      <w:r>
        <w:rPr>
          <w:rStyle w:val="Normal"/>
        </w:rPr>
        <w:t xml:space="preserve">, not as a compliance instrument.</w:t>
      </w:r>
    </w:p>
    <w:p>
      <w:r>
        <w:rPr>
          <w:rStyle w:val="Normal"/>
        </w:rPr>
        <w:t xml:space="preserve">Certification confirms that: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GPR calculations follow GPRI-endorsed methodologies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LAI assumptions are explicitly documented and auditable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Outcomes are reproducible within stated parameters</w:t>
      </w:r>
    </w:p>
    <w:p>
      <w:r>
        <w:rPr>
          <w:rStyle w:val="Normal"/>
        </w:rPr>
        <w:t xml:space="preserve">Certification is intended to strengthen confidence in ecological claims by demonstrating scientific care and analytical discipline.</w:t>
      </w:r>
    </w:p>
    <w:p>
      <w:pPr>
        <w:pStyle w:val="Heading4"/>
      </w:pPr>
      <w:r>
        <w:rPr>
          <w:rStyle w:val="Normal"/>
        </w:rPr>
        <w:t xml:space="preserve">3.4 Research, Review, and Advisory Activities</w:t>
      </w:r>
    </w:p>
    <w:p>
      <w:r>
        <w:rPr>
          <w:rStyle w:val="Normal"/>
        </w:rPr>
        <w:t xml:space="preserve">GPRI undertakes and supports research activities focused 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Refining LAI and GPR methodologies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Evaluating correlations between urban greenery and environmental performance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Advancing ecological metrics suitable for urban design and planning</w:t>
      </w:r>
    </w:p>
    <w:p>
      <w:r>
        <w:rPr>
          <w:rStyle w:val="Normal"/>
        </w:rPr>
        <w:t xml:space="preserve">Research outputs contribute directly to the evolution of GPRI standards and tools.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4. Intellectual Property and Openness</w:t>
      </w:r>
    </w:p>
    <w:p>
      <w:r>
        <w:rPr>
          <w:rStyle w:val="Normal"/>
        </w:rPr>
        <w:t xml:space="preserve">GPRI is founded on an </w:t>
      </w:r>
      <w:r>
        <w:rPr>
          <w:b/>
          <w:bCs/>
          <w:rStyle w:val="Normal"/>
        </w:rPr>
        <w:t xml:space="preserve">open scientific architecture</w:t>
      </w:r>
      <w:r>
        <w:rPr>
          <w:rStyle w:val="Normal"/>
        </w:rPr>
        <w:t xml:space="preserve"> coupled with clear operational stewardship.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The Green Plot Ratio concept and foundational research remain openly available for academic and non-commercial use, supporting global discourse and scholarly development.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GPRI retains stewardship of its certification marks, platform software, and implementation frameworks to ensure consistency, quality control, and institutional sustainability.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The Institute actively supports partnerships with CAD, BIM, and analytical platforms to allow GPR methodologies to operate as modular components within broader design ecosystems.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5. Governance and Scientific Oversight</w:t>
      </w:r>
    </w:p>
    <w:p>
      <w:r>
        <w:rPr>
          <w:rStyle w:val="Normal"/>
        </w:rPr>
        <w:t xml:space="preserve">To safeguard scientific credibility and institutional integrity, GPRI is overseen by an independent </w:t>
      </w:r>
      <w:r>
        <w:rPr>
          <w:b/>
          <w:bCs/>
          <w:rStyle w:val="Normal"/>
        </w:rPr>
        <w:t xml:space="preserve">Scientific and Technical Advisory Board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The Board is responsible for: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Reviewing and endorsing methodological frameworks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Evaluating updates to LAI reference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Advising on certification thresholds and classification structures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Mediating technical and scientific disputes</w:t>
      </w:r>
    </w:p>
    <w:p>
      <w:r>
        <w:rPr>
          <w:rStyle w:val="Normal"/>
        </w:rPr>
        <w:t xml:space="preserve">This governance structure ensures that GPRI remains anchored in evidence-based practice and protected against dilution of scientific standards.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6. Adoption Philosophy</w:t>
      </w:r>
    </w:p>
    <w:p>
      <w:r>
        <w:rPr>
          <w:rStyle w:val="Normal"/>
        </w:rPr>
        <w:t xml:space="preserve">GPRI is conceived as an enabling infrastructure rather than a regulatory authority.</w:t>
      </w:r>
    </w:p>
    <w:p>
      <w:r>
        <w:rPr>
          <w:rStyle w:val="Normal"/>
        </w:rPr>
        <w:t xml:space="preserve">Its standards and tools are designed to be adopted because they: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Improve clarity and credibility in ecological assessment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Support defensible design and planning decisions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Provide shared language across disciplines and jurisdictions</w:t>
      </w:r>
    </w:p>
    <w:p>
      <w:r>
        <w:rPr>
          <w:rStyle w:val="Normal"/>
        </w:rPr>
        <w:t xml:space="preserve">Widespread voluntary use is understood as the primary pathway through which GPRI achieves legitimacy, normalisation, and long-term impact.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7. Institutional Development and Continuity</w:t>
      </w:r>
    </w:p>
    <w:p>
      <w:r>
        <w:rPr>
          <w:rStyle w:val="Normal"/>
        </w:rPr>
        <w:t xml:space="preserve">GPRI is established with a founder-led vision during its formative stages, transitioning over time to professional executive management.</w:t>
      </w:r>
    </w:p>
    <w:p>
      <w:r>
        <w:rPr>
          <w:rStyle w:val="Normal"/>
        </w:rPr>
        <w:t xml:space="preserve">This structure allows the Institute 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Maintain continuity of purpose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Adapt to emerging research and practice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Ensure independence from short-term commercial or political pressures</w:t>
      </w:r>
    </w:p>
    <w:p>
      <w:r>
        <w:rPr>
          <w:rStyle w:val="Normal"/>
        </w:rPr>
        <w:t xml:space="preserve">The Founder retains a long-term stewardship role focused on strategic direction, research coherence, and global advocacy.</w:t>
      </w:r>
    </w:p>
    <w:p>
      <w:pPr>
        <w:pBdr>
          <w:top w:val="single" w:color="auto" w:sz="12"/>
        </w:pBdr>
        <w:spacing w:after="0"/>
      </w:pPr>
    </w:p>
    <w:p>
      <w:r>
        <w:rPr>
          <w:b/>
          <w:bCs/>
          <w:rStyle w:val="Normal"/>
        </w:rPr>
        <w:t xml:space="preserve">End of Charter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2026-04-21T08:11:48.226Z</dcterms:created>
  <dcterms:modified xsi:type="dcterms:W3CDTF">2026-04-21T08:11:48.226Z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