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8387" w14:textId="7C2BAB50" w:rsidR="00315AC5" w:rsidRDefault="00D54710" w:rsidP="00D54710">
      <w:pPr>
        <w:pStyle w:val="Title"/>
      </w:pPr>
      <w:r>
        <w:t>GPR Global Plant Database – Methodology</w:t>
      </w:r>
    </w:p>
    <w:p w14:paraId="21B0576A" w14:textId="77777777" w:rsidR="00D54710" w:rsidRPr="00D54710" w:rsidRDefault="00D54710" w:rsidP="00D54710">
      <w:r w:rsidRPr="00D54710">
        <w:t>[Mon 25 May 26 1:19pm]</w:t>
      </w:r>
    </w:p>
    <w:p w14:paraId="2025E96F" w14:textId="77777777" w:rsidR="00D54710" w:rsidRPr="00D54710" w:rsidRDefault="00D54710" w:rsidP="00D54710">
      <w:pPr>
        <w:rPr>
          <w:b/>
          <w:bCs/>
        </w:rPr>
      </w:pPr>
      <w:r w:rsidRPr="00D54710">
        <w:rPr>
          <w:b/>
          <w:bCs/>
        </w:rPr>
        <w:t>How LAI changes with plant size and growth</w:t>
      </w:r>
    </w:p>
    <w:p w14:paraId="697906DC" w14:textId="77777777" w:rsidR="00D54710" w:rsidRPr="00D54710" w:rsidRDefault="00D54710" w:rsidP="00D54710">
      <w:r w:rsidRPr="00D54710">
        <w:t xml:space="preserve">The LAI value in your database (and in ORNL/TRY) represents a </w:t>
      </w:r>
      <w:r w:rsidRPr="00D54710">
        <w:rPr>
          <w:b/>
          <w:bCs/>
        </w:rPr>
        <w:t>mature canopy under reference conditions</w:t>
      </w:r>
      <w:r w:rsidRPr="00D54710">
        <w:t xml:space="preserve"> — essentially the ceiling value for a species in favourable, non-urban settings. In practice, LAI follows a growth trajectory:</w:t>
      </w:r>
    </w:p>
    <w:p w14:paraId="63092752" w14:textId="77777777" w:rsidR="00D54710" w:rsidRPr="00D54710" w:rsidRDefault="00D54710" w:rsidP="00D54710">
      <w:pPr>
        <w:numPr>
          <w:ilvl w:val="0"/>
          <w:numId w:val="1"/>
        </w:numPr>
      </w:pPr>
      <w:r w:rsidRPr="00D54710">
        <w:rPr>
          <w:b/>
          <w:bCs/>
        </w:rPr>
        <w:t>Juvenile phase (0–5 yrs):</w:t>
      </w:r>
      <w:r w:rsidRPr="00D54710">
        <w:t xml:space="preserve"> LAI is low, 20–40% of mature value. The crown is open and sparse; leaf area hasn't filled the canopy envelope yet.</w:t>
      </w:r>
    </w:p>
    <w:p w14:paraId="7136693A" w14:textId="77777777" w:rsidR="00D54710" w:rsidRPr="00D54710" w:rsidRDefault="00D54710" w:rsidP="00D54710">
      <w:pPr>
        <w:numPr>
          <w:ilvl w:val="0"/>
          <w:numId w:val="1"/>
        </w:numPr>
      </w:pPr>
      <w:r w:rsidRPr="00D54710">
        <w:rPr>
          <w:b/>
          <w:bCs/>
        </w:rPr>
        <w:t>Adolescent phase (5–15 yrs):</w:t>
      </w:r>
      <w:r w:rsidRPr="00D54710">
        <w:t xml:space="preserve"> Rapid crown development; LAI rises steeply toward mature value.</w:t>
      </w:r>
    </w:p>
    <w:p w14:paraId="4F6FBA40" w14:textId="77777777" w:rsidR="00D54710" w:rsidRPr="00D54710" w:rsidRDefault="00D54710" w:rsidP="00D54710">
      <w:pPr>
        <w:numPr>
          <w:ilvl w:val="0"/>
          <w:numId w:val="1"/>
        </w:numPr>
      </w:pPr>
      <w:r w:rsidRPr="00D54710">
        <w:rPr>
          <w:b/>
          <w:bCs/>
        </w:rPr>
        <w:t>Sub-mature (15–30 yrs):</w:t>
      </w:r>
      <w:r w:rsidRPr="00D54710">
        <w:t xml:space="preserve"> LAI plateaus near species maximum; canopy area is still increasing in many species.</w:t>
      </w:r>
    </w:p>
    <w:p w14:paraId="0C48FD8C" w14:textId="77777777" w:rsidR="00D54710" w:rsidRPr="00D54710" w:rsidRDefault="00D54710" w:rsidP="00D54710">
      <w:pPr>
        <w:numPr>
          <w:ilvl w:val="0"/>
          <w:numId w:val="1"/>
        </w:numPr>
      </w:pPr>
      <w:r w:rsidRPr="00D54710">
        <w:rPr>
          <w:b/>
          <w:bCs/>
        </w:rPr>
        <w:t>Mature (30+ yrs):</w:t>
      </w:r>
      <w:r w:rsidRPr="00D54710">
        <w:t xml:space="preserve"> Peak LAI for species. The database reference value applies here.</w:t>
      </w:r>
    </w:p>
    <w:p w14:paraId="6733A498" w14:textId="77777777" w:rsidR="00D54710" w:rsidRPr="00D54710" w:rsidRDefault="00D54710" w:rsidP="00D54710">
      <w:pPr>
        <w:numPr>
          <w:ilvl w:val="0"/>
          <w:numId w:val="1"/>
        </w:numPr>
      </w:pPr>
      <w:r w:rsidRPr="00D54710">
        <w:rPr>
          <w:b/>
          <w:bCs/>
        </w:rPr>
        <w:t>Overmature/senescent:</w:t>
      </w:r>
      <w:r w:rsidRPr="00D54710">
        <w:t xml:space="preserve"> LAI may decline in some long-lived species; not practically relevant for design timescales.</w:t>
      </w:r>
    </w:p>
    <w:p w14:paraId="433E5906" w14:textId="77777777" w:rsidR="00D54710" w:rsidRPr="00D54710" w:rsidRDefault="00D54710" w:rsidP="00D54710">
      <w:r w:rsidRPr="00D54710">
        <w:t xml:space="preserve">The practical implication for GPR is that </w:t>
      </w:r>
      <w:r w:rsidRPr="00D54710">
        <w:rPr>
          <w:b/>
          <w:bCs/>
        </w:rPr>
        <w:t>what changes most with plant size is canopy area, not LAI density</w:t>
      </w:r>
      <w:r w:rsidRPr="00D54710">
        <w:t xml:space="preserve">. A young </w:t>
      </w:r>
      <w:r w:rsidRPr="00D54710">
        <w:rPr>
          <w:i/>
          <w:iCs/>
        </w:rPr>
        <w:t xml:space="preserve">Ficus </w:t>
      </w:r>
      <w:proofErr w:type="spellStart"/>
      <w:r w:rsidRPr="00D54710">
        <w:rPr>
          <w:i/>
          <w:iCs/>
        </w:rPr>
        <w:t>benjamina</w:t>
      </w:r>
      <w:proofErr w:type="spellEnd"/>
      <w:r w:rsidRPr="00D54710">
        <w:t xml:space="preserve"> and a mature one may have similar LAI values (leaf density per unit canopy footprint</w:t>
      </w:r>
      <w:proofErr w:type="gramStart"/>
      <w:r w:rsidRPr="00D54710">
        <w:t>)</w:t>
      </w:r>
      <w:proofErr w:type="gramEnd"/>
      <w:r w:rsidRPr="00D54710">
        <w:t xml:space="preserve"> but the mature tree has ten times the canopy area, and therefore ten times the total leaf area contribution to GPR. This is already correctly handled by your formula — GPR = Σ(</w:t>
      </w:r>
      <w:proofErr w:type="spellStart"/>
      <w:r w:rsidRPr="00D54710">
        <w:t>LAI_i</w:t>
      </w:r>
      <w:proofErr w:type="spellEnd"/>
      <w:r w:rsidRPr="00D54710">
        <w:t xml:space="preserve"> × Canopy </w:t>
      </w:r>
      <w:proofErr w:type="spellStart"/>
      <w:r w:rsidRPr="00D54710">
        <w:t>Area_i</w:t>
      </w:r>
      <w:proofErr w:type="spellEnd"/>
      <w:r w:rsidRPr="00D54710">
        <w:t xml:space="preserve">) / Site Area — </w:t>
      </w:r>
      <w:proofErr w:type="gramStart"/>
      <w:r w:rsidRPr="00D54710">
        <w:t>as long as</w:t>
      </w:r>
      <w:proofErr w:type="gramEnd"/>
      <w:r w:rsidRPr="00D54710">
        <w:t xml:space="preserve"> the designer inputs the actual current canopy area of the plant, not a reference adult canopy. The database LAI value is applied to whatever canopy area the plant currently occupies.</w:t>
      </w:r>
    </w:p>
    <w:p w14:paraId="49EA140B" w14:textId="77777777" w:rsidR="00D54710" w:rsidRPr="00D54710" w:rsidRDefault="00D54710" w:rsidP="00D54710">
      <w:r w:rsidRPr="00D54710">
        <w:t xml:space="preserve">However, there is a secondary effect: LAI density itself is </w:t>
      </w:r>
      <w:r w:rsidRPr="00D54710">
        <w:rPr>
          <w:b/>
          <w:bCs/>
        </w:rPr>
        <w:t>not fully constant with age</w:t>
      </w:r>
      <w:r w:rsidRPr="00D54710">
        <w:t>. During juvenile phase, LAI is genuinely lower per unit of canopy footprint because the crown interior is not yet densely packed with leaves. For precision, you would want growth-stage modifiers — 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2799"/>
      </w:tblGrid>
      <w:tr w:rsidR="00D54710" w:rsidRPr="00D54710" w14:paraId="0C6A7A11" w14:textId="77777777">
        <w:trPr>
          <w:tblHeader/>
          <w:tblCellSpacing w:w="15" w:type="dxa"/>
        </w:trPr>
        <w:tc>
          <w:tcPr>
            <w:tcW w:w="0" w:type="auto"/>
            <w:vAlign w:val="center"/>
            <w:hideMark/>
          </w:tcPr>
          <w:p w14:paraId="340FD42C" w14:textId="77777777" w:rsidR="00D54710" w:rsidRPr="00D54710" w:rsidRDefault="00D54710" w:rsidP="00D54710">
            <w:pPr>
              <w:rPr>
                <w:b/>
                <w:bCs/>
              </w:rPr>
            </w:pPr>
            <w:r w:rsidRPr="00D54710">
              <w:rPr>
                <w:b/>
                <w:bCs/>
              </w:rPr>
              <w:t>Growth stage</w:t>
            </w:r>
          </w:p>
        </w:tc>
        <w:tc>
          <w:tcPr>
            <w:tcW w:w="0" w:type="auto"/>
            <w:vAlign w:val="center"/>
            <w:hideMark/>
          </w:tcPr>
          <w:p w14:paraId="5E4B5E38" w14:textId="77777777" w:rsidR="00D54710" w:rsidRPr="00D54710" w:rsidRDefault="00D54710" w:rsidP="00D54710">
            <w:pPr>
              <w:rPr>
                <w:b/>
                <w:bCs/>
              </w:rPr>
            </w:pPr>
            <w:r w:rsidRPr="00D54710">
              <w:rPr>
                <w:b/>
                <w:bCs/>
              </w:rPr>
              <w:t>LAI multiplier (indicative)</w:t>
            </w:r>
          </w:p>
        </w:tc>
      </w:tr>
      <w:tr w:rsidR="00D54710" w:rsidRPr="00D54710" w14:paraId="3C4E63CD" w14:textId="77777777">
        <w:trPr>
          <w:tblCellSpacing w:w="15" w:type="dxa"/>
        </w:trPr>
        <w:tc>
          <w:tcPr>
            <w:tcW w:w="0" w:type="auto"/>
            <w:vAlign w:val="center"/>
            <w:hideMark/>
          </w:tcPr>
          <w:p w14:paraId="6BD98AFB" w14:textId="77777777" w:rsidR="00D54710" w:rsidRPr="00D54710" w:rsidRDefault="00D54710" w:rsidP="00D54710">
            <w:r w:rsidRPr="00D54710">
              <w:t>Juvenile (&lt;5 yr)</w:t>
            </w:r>
          </w:p>
        </w:tc>
        <w:tc>
          <w:tcPr>
            <w:tcW w:w="0" w:type="auto"/>
            <w:vAlign w:val="center"/>
            <w:hideMark/>
          </w:tcPr>
          <w:p w14:paraId="13B5B0DA" w14:textId="77777777" w:rsidR="00D54710" w:rsidRPr="00D54710" w:rsidRDefault="00D54710" w:rsidP="00D54710">
            <w:r w:rsidRPr="00D54710">
              <w:t>0.3–0.5</w:t>
            </w:r>
          </w:p>
        </w:tc>
      </w:tr>
      <w:tr w:rsidR="00D54710" w:rsidRPr="00D54710" w14:paraId="3AFF7E24" w14:textId="77777777">
        <w:trPr>
          <w:tblCellSpacing w:w="15" w:type="dxa"/>
        </w:trPr>
        <w:tc>
          <w:tcPr>
            <w:tcW w:w="0" w:type="auto"/>
            <w:vAlign w:val="center"/>
            <w:hideMark/>
          </w:tcPr>
          <w:p w14:paraId="265789B0" w14:textId="77777777" w:rsidR="00D54710" w:rsidRPr="00D54710" w:rsidRDefault="00D54710" w:rsidP="00D54710">
            <w:r w:rsidRPr="00D54710">
              <w:t>Adolescent (5–15 yr)</w:t>
            </w:r>
          </w:p>
        </w:tc>
        <w:tc>
          <w:tcPr>
            <w:tcW w:w="0" w:type="auto"/>
            <w:vAlign w:val="center"/>
            <w:hideMark/>
          </w:tcPr>
          <w:p w14:paraId="0749F317" w14:textId="77777777" w:rsidR="00D54710" w:rsidRPr="00D54710" w:rsidRDefault="00D54710" w:rsidP="00D54710">
            <w:r w:rsidRPr="00D54710">
              <w:t>0.6–0.8</w:t>
            </w:r>
          </w:p>
        </w:tc>
      </w:tr>
      <w:tr w:rsidR="00D54710" w:rsidRPr="00D54710" w14:paraId="339C229A" w14:textId="77777777">
        <w:trPr>
          <w:tblCellSpacing w:w="15" w:type="dxa"/>
        </w:trPr>
        <w:tc>
          <w:tcPr>
            <w:tcW w:w="0" w:type="auto"/>
            <w:vAlign w:val="center"/>
            <w:hideMark/>
          </w:tcPr>
          <w:p w14:paraId="7696FB2C" w14:textId="77777777" w:rsidR="00D54710" w:rsidRPr="00D54710" w:rsidRDefault="00D54710" w:rsidP="00D54710">
            <w:r w:rsidRPr="00D54710">
              <w:t>Sub-mature (15–30 yr)</w:t>
            </w:r>
          </w:p>
        </w:tc>
        <w:tc>
          <w:tcPr>
            <w:tcW w:w="0" w:type="auto"/>
            <w:vAlign w:val="center"/>
            <w:hideMark/>
          </w:tcPr>
          <w:p w14:paraId="192ECDDC" w14:textId="77777777" w:rsidR="00D54710" w:rsidRPr="00D54710" w:rsidRDefault="00D54710" w:rsidP="00D54710">
            <w:r w:rsidRPr="00D54710">
              <w:t>0.85–0.95</w:t>
            </w:r>
          </w:p>
        </w:tc>
      </w:tr>
      <w:tr w:rsidR="00D54710" w:rsidRPr="00D54710" w14:paraId="4D941CBA" w14:textId="77777777">
        <w:trPr>
          <w:tblCellSpacing w:w="15" w:type="dxa"/>
        </w:trPr>
        <w:tc>
          <w:tcPr>
            <w:tcW w:w="0" w:type="auto"/>
            <w:vAlign w:val="center"/>
            <w:hideMark/>
          </w:tcPr>
          <w:p w14:paraId="07E831D6" w14:textId="77777777" w:rsidR="00D54710" w:rsidRPr="00D54710" w:rsidRDefault="00D54710" w:rsidP="00D54710">
            <w:r w:rsidRPr="00D54710">
              <w:lastRenderedPageBreak/>
              <w:t>Mature (&gt;30 yr)</w:t>
            </w:r>
          </w:p>
        </w:tc>
        <w:tc>
          <w:tcPr>
            <w:tcW w:w="0" w:type="auto"/>
            <w:vAlign w:val="center"/>
            <w:hideMark/>
          </w:tcPr>
          <w:p w14:paraId="71CC8195" w14:textId="77777777" w:rsidR="00D54710" w:rsidRPr="00D54710" w:rsidRDefault="00D54710" w:rsidP="00D54710">
            <w:r w:rsidRPr="00D54710">
              <w:t>1.0 (reference)</w:t>
            </w:r>
          </w:p>
        </w:tc>
      </w:tr>
    </w:tbl>
    <w:p w14:paraId="461EDF1E" w14:textId="77777777" w:rsidR="00D54710" w:rsidRPr="00D54710" w:rsidRDefault="00D54710" w:rsidP="00D54710">
      <w:r w:rsidRPr="00D54710">
        <w:t>These are derived from field campaigns (there's reasonable literature for forest trees; urban-specific data is thin). Adding growth-stage modifiers to the schema would be a Version 1.3+ enhancement — important for research precision but not blocking Version 1.0 release.</w:t>
      </w:r>
    </w:p>
    <w:p w14:paraId="296249AE" w14:textId="77777777" w:rsidR="00D54710" w:rsidRPr="00D54710" w:rsidRDefault="00000000" w:rsidP="00D54710">
      <w:r>
        <w:pict w14:anchorId="19ECEA56">
          <v:rect id="_x0000_i1026" style="width:0;height:1.5pt" o:hralign="center" o:hrstd="t" o:hr="t" fillcolor="#a0a0a0" stroked="f"/>
        </w:pict>
      </w:r>
    </w:p>
    <w:p w14:paraId="3AB17280" w14:textId="77777777" w:rsidR="00D54710" w:rsidRPr="00D54710" w:rsidRDefault="00D54710" w:rsidP="00D54710">
      <w:pPr>
        <w:rPr>
          <w:b/>
          <w:bCs/>
        </w:rPr>
      </w:pPr>
      <w:r w:rsidRPr="00D54710">
        <w:rPr>
          <w:b/>
          <w:bCs/>
        </w:rPr>
        <w:t>Factors influencing LAI</w:t>
      </w:r>
    </w:p>
    <w:p w14:paraId="44826D9E" w14:textId="77777777" w:rsidR="00D54710" w:rsidRPr="00D54710" w:rsidRDefault="00D54710" w:rsidP="00D54710">
      <w:r w:rsidRPr="00D54710">
        <w:rPr>
          <w:b/>
          <w:bCs/>
        </w:rPr>
        <w:t>Intrinsic (species-driven):</w:t>
      </w:r>
    </w:p>
    <w:p w14:paraId="5AB42D6C" w14:textId="77777777" w:rsidR="00D54710" w:rsidRPr="00D54710" w:rsidRDefault="00D54710" w:rsidP="00D54710">
      <w:pPr>
        <w:numPr>
          <w:ilvl w:val="0"/>
          <w:numId w:val="2"/>
        </w:numPr>
      </w:pPr>
      <w:r w:rsidRPr="00D54710">
        <w:t>Genetic ceiling on leaf production and canopy architecture</w:t>
      </w:r>
    </w:p>
    <w:p w14:paraId="4D3F7F12" w14:textId="77777777" w:rsidR="00D54710" w:rsidRPr="00D54710" w:rsidRDefault="00D54710" w:rsidP="00D54710">
      <w:pPr>
        <w:numPr>
          <w:ilvl w:val="0"/>
          <w:numId w:val="2"/>
        </w:numPr>
      </w:pPr>
      <w:r w:rsidRPr="00D54710">
        <w:t>Leaf size, lifespan, and turnover rate</w:t>
      </w:r>
    </w:p>
    <w:p w14:paraId="17FAB287" w14:textId="77777777" w:rsidR="00D54710" w:rsidRPr="00D54710" w:rsidRDefault="00D54710" w:rsidP="00D54710">
      <w:pPr>
        <w:numPr>
          <w:ilvl w:val="0"/>
          <w:numId w:val="2"/>
        </w:numPr>
      </w:pPr>
      <w:r w:rsidRPr="00D54710">
        <w:t>Shade tolerance (shade-adapted species reach higher LAI in low-light positions)</w:t>
      </w:r>
    </w:p>
    <w:p w14:paraId="079FA87B" w14:textId="77777777" w:rsidR="00D54710" w:rsidRPr="00D54710" w:rsidRDefault="00D54710" w:rsidP="00D54710">
      <w:pPr>
        <w:numPr>
          <w:ilvl w:val="0"/>
          <w:numId w:val="2"/>
        </w:numPr>
      </w:pPr>
      <w:r w:rsidRPr="00D54710">
        <w:t>Evergreen vs deciduous (LAI varies seasonally in deciduous species; zero in winter in temperate climates)</w:t>
      </w:r>
    </w:p>
    <w:p w14:paraId="130F3C72" w14:textId="77777777" w:rsidR="00D54710" w:rsidRPr="00D54710" w:rsidRDefault="00D54710" w:rsidP="00D54710">
      <w:r w:rsidRPr="00D54710">
        <w:rPr>
          <w:b/>
          <w:bCs/>
        </w:rPr>
        <w:t>Climatic:</w:t>
      </w:r>
    </w:p>
    <w:p w14:paraId="4A8E9903" w14:textId="77777777" w:rsidR="00D54710" w:rsidRPr="00D54710" w:rsidRDefault="00D54710" w:rsidP="00D54710">
      <w:pPr>
        <w:numPr>
          <w:ilvl w:val="0"/>
          <w:numId w:val="3"/>
        </w:numPr>
      </w:pPr>
      <w:r w:rsidRPr="00D54710">
        <w:t>Solar radiation (drives photosynthesis; more light → more leaf area supportable)</w:t>
      </w:r>
    </w:p>
    <w:p w14:paraId="5B90D963" w14:textId="77777777" w:rsidR="00D54710" w:rsidRPr="00D54710" w:rsidRDefault="00D54710" w:rsidP="00D54710">
      <w:pPr>
        <w:numPr>
          <w:ilvl w:val="0"/>
          <w:numId w:val="3"/>
        </w:numPr>
      </w:pPr>
      <w:r w:rsidRPr="00D54710">
        <w:t>Precipitation and soil water availability</w:t>
      </w:r>
    </w:p>
    <w:p w14:paraId="5EF087E0" w14:textId="77777777" w:rsidR="00D54710" w:rsidRPr="00D54710" w:rsidRDefault="00D54710" w:rsidP="00D54710">
      <w:pPr>
        <w:numPr>
          <w:ilvl w:val="0"/>
          <w:numId w:val="3"/>
        </w:numPr>
      </w:pPr>
      <w:r w:rsidRPr="00D54710">
        <w:t>Temperature (growing season length)</w:t>
      </w:r>
    </w:p>
    <w:p w14:paraId="4C997F34" w14:textId="77777777" w:rsidR="00D54710" w:rsidRPr="00D54710" w:rsidRDefault="00D54710" w:rsidP="00D54710">
      <w:pPr>
        <w:numPr>
          <w:ilvl w:val="0"/>
          <w:numId w:val="3"/>
        </w:numPr>
      </w:pPr>
      <w:r w:rsidRPr="00D54710">
        <w:t>VPD (vapour pressure deficit — high VPD causes stomatal closure and reduced leaf production)</w:t>
      </w:r>
    </w:p>
    <w:p w14:paraId="37B1DE22" w14:textId="77777777" w:rsidR="00D54710" w:rsidRPr="00D54710" w:rsidRDefault="00D54710" w:rsidP="00D54710">
      <w:r w:rsidRPr="00D54710">
        <w:rPr>
          <w:b/>
          <w:bCs/>
        </w:rPr>
        <w:t>Urban stressors</w:t>
      </w:r>
      <w:r w:rsidRPr="00D54710">
        <w:t xml:space="preserve"> — this is where your database's gap is most significant: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4748"/>
        <w:gridCol w:w="2173"/>
      </w:tblGrid>
      <w:tr w:rsidR="00D54710" w:rsidRPr="00D54710" w14:paraId="3A9026B2" w14:textId="77777777">
        <w:trPr>
          <w:tblHeader/>
          <w:tblCellSpacing w:w="15" w:type="dxa"/>
        </w:trPr>
        <w:tc>
          <w:tcPr>
            <w:tcW w:w="0" w:type="auto"/>
            <w:vAlign w:val="center"/>
            <w:hideMark/>
          </w:tcPr>
          <w:p w14:paraId="3DA39BF0" w14:textId="77777777" w:rsidR="00D54710" w:rsidRPr="00D54710" w:rsidRDefault="00D54710" w:rsidP="00D54710">
            <w:pPr>
              <w:rPr>
                <w:b/>
                <w:bCs/>
              </w:rPr>
            </w:pPr>
            <w:r w:rsidRPr="00D54710">
              <w:rPr>
                <w:b/>
                <w:bCs/>
              </w:rPr>
              <w:t>Urban stressor</w:t>
            </w:r>
          </w:p>
        </w:tc>
        <w:tc>
          <w:tcPr>
            <w:tcW w:w="0" w:type="auto"/>
            <w:vAlign w:val="center"/>
            <w:hideMark/>
          </w:tcPr>
          <w:p w14:paraId="48A21B02" w14:textId="77777777" w:rsidR="00D54710" w:rsidRPr="00D54710" w:rsidRDefault="00D54710" w:rsidP="00D54710">
            <w:pPr>
              <w:rPr>
                <w:b/>
                <w:bCs/>
              </w:rPr>
            </w:pPr>
            <w:r w:rsidRPr="00D54710">
              <w:rPr>
                <w:b/>
                <w:bCs/>
              </w:rPr>
              <w:t>Effect on LAI</w:t>
            </w:r>
          </w:p>
        </w:tc>
        <w:tc>
          <w:tcPr>
            <w:tcW w:w="0" w:type="auto"/>
            <w:vAlign w:val="center"/>
            <w:hideMark/>
          </w:tcPr>
          <w:p w14:paraId="0DF2E6E2" w14:textId="77777777" w:rsidR="00D54710" w:rsidRPr="00D54710" w:rsidRDefault="00D54710" w:rsidP="00D54710">
            <w:pPr>
              <w:rPr>
                <w:b/>
                <w:bCs/>
              </w:rPr>
            </w:pPr>
            <w:r w:rsidRPr="00D54710">
              <w:rPr>
                <w:b/>
                <w:bCs/>
              </w:rPr>
              <w:t>Typical magnitude</w:t>
            </w:r>
          </w:p>
        </w:tc>
      </w:tr>
      <w:tr w:rsidR="00D54710" w:rsidRPr="00D54710" w14:paraId="7EE28E94" w14:textId="77777777">
        <w:trPr>
          <w:tblCellSpacing w:w="15" w:type="dxa"/>
        </w:trPr>
        <w:tc>
          <w:tcPr>
            <w:tcW w:w="0" w:type="auto"/>
            <w:vAlign w:val="center"/>
            <w:hideMark/>
          </w:tcPr>
          <w:p w14:paraId="47295627" w14:textId="77777777" w:rsidR="00D54710" w:rsidRPr="00D54710" w:rsidRDefault="00D54710" w:rsidP="00D54710">
            <w:r w:rsidRPr="00D54710">
              <w:t>Root restriction (tree pits)</w:t>
            </w:r>
          </w:p>
        </w:tc>
        <w:tc>
          <w:tcPr>
            <w:tcW w:w="0" w:type="auto"/>
            <w:vAlign w:val="center"/>
            <w:hideMark/>
          </w:tcPr>
          <w:p w14:paraId="17DAE7B1" w14:textId="77777777" w:rsidR="00D54710" w:rsidRPr="00D54710" w:rsidRDefault="00D54710" w:rsidP="00D54710">
            <w:r w:rsidRPr="00D54710">
              <w:t>Limits crown development → lower canopy area and LAI</w:t>
            </w:r>
          </w:p>
        </w:tc>
        <w:tc>
          <w:tcPr>
            <w:tcW w:w="0" w:type="auto"/>
            <w:vAlign w:val="center"/>
            <w:hideMark/>
          </w:tcPr>
          <w:p w14:paraId="43F73CC1" w14:textId="77777777" w:rsidR="00D54710" w:rsidRPr="00D54710" w:rsidRDefault="00D54710" w:rsidP="00D54710">
            <w:r w:rsidRPr="00D54710">
              <w:t>–30–50%</w:t>
            </w:r>
          </w:p>
        </w:tc>
      </w:tr>
      <w:tr w:rsidR="00D54710" w:rsidRPr="00D54710" w14:paraId="3C873131" w14:textId="77777777">
        <w:trPr>
          <w:tblCellSpacing w:w="15" w:type="dxa"/>
        </w:trPr>
        <w:tc>
          <w:tcPr>
            <w:tcW w:w="0" w:type="auto"/>
            <w:vAlign w:val="center"/>
            <w:hideMark/>
          </w:tcPr>
          <w:p w14:paraId="5484B522" w14:textId="77777777" w:rsidR="00D54710" w:rsidRPr="00D54710" w:rsidRDefault="00D54710" w:rsidP="00D54710">
            <w:r w:rsidRPr="00D54710">
              <w:t>Substrate depth (green roofs)</w:t>
            </w:r>
          </w:p>
        </w:tc>
        <w:tc>
          <w:tcPr>
            <w:tcW w:w="0" w:type="auto"/>
            <w:vAlign w:val="center"/>
            <w:hideMark/>
          </w:tcPr>
          <w:p w14:paraId="0225AC73" w14:textId="77777777" w:rsidR="00D54710" w:rsidRPr="00D54710" w:rsidRDefault="00D54710" w:rsidP="00D54710">
            <w:r w:rsidRPr="00D54710">
              <w:t>Hard ceiling on root volume; shallow substrates severely limit crown</w:t>
            </w:r>
          </w:p>
        </w:tc>
        <w:tc>
          <w:tcPr>
            <w:tcW w:w="0" w:type="auto"/>
            <w:vAlign w:val="center"/>
            <w:hideMark/>
          </w:tcPr>
          <w:p w14:paraId="7A557C1C" w14:textId="77777777" w:rsidR="00D54710" w:rsidRPr="00D54710" w:rsidRDefault="00D54710" w:rsidP="00D54710">
            <w:r w:rsidRPr="00D54710">
              <w:t>–40–70% for &lt;150mm substrate</w:t>
            </w:r>
          </w:p>
        </w:tc>
      </w:tr>
      <w:tr w:rsidR="00D54710" w:rsidRPr="00D54710" w14:paraId="56C6F861" w14:textId="77777777">
        <w:trPr>
          <w:tblCellSpacing w:w="15" w:type="dxa"/>
        </w:trPr>
        <w:tc>
          <w:tcPr>
            <w:tcW w:w="0" w:type="auto"/>
            <w:vAlign w:val="center"/>
            <w:hideMark/>
          </w:tcPr>
          <w:p w14:paraId="2976E850" w14:textId="77777777" w:rsidR="00D54710" w:rsidRPr="00D54710" w:rsidRDefault="00D54710" w:rsidP="00D54710">
            <w:r w:rsidRPr="00D54710">
              <w:t>Soil compaction</w:t>
            </w:r>
          </w:p>
        </w:tc>
        <w:tc>
          <w:tcPr>
            <w:tcW w:w="0" w:type="auto"/>
            <w:vAlign w:val="center"/>
            <w:hideMark/>
          </w:tcPr>
          <w:p w14:paraId="51BB11CA" w14:textId="77777777" w:rsidR="00D54710" w:rsidRPr="00D54710" w:rsidRDefault="00D54710" w:rsidP="00D54710">
            <w:r w:rsidRPr="00D54710">
              <w:t>Reduces water/nutrient uptake</w:t>
            </w:r>
          </w:p>
        </w:tc>
        <w:tc>
          <w:tcPr>
            <w:tcW w:w="0" w:type="auto"/>
            <w:vAlign w:val="center"/>
            <w:hideMark/>
          </w:tcPr>
          <w:p w14:paraId="10A64C3A" w14:textId="77777777" w:rsidR="00D54710" w:rsidRPr="00D54710" w:rsidRDefault="00D54710" w:rsidP="00D54710">
            <w:r w:rsidRPr="00D54710">
              <w:t>–20–40%</w:t>
            </w:r>
          </w:p>
        </w:tc>
      </w:tr>
      <w:tr w:rsidR="00D54710" w:rsidRPr="00D54710" w14:paraId="2F0861C7" w14:textId="77777777">
        <w:trPr>
          <w:tblCellSpacing w:w="15" w:type="dxa"/>
        </w:trPr>
        <w:tc>
          <w:tcPr>
            <w:tcW w:w="0" w:type="auto"/>
            <w:vAlign w:val="center"/>
            <w:hideMark/>
          </w:tcPr>
          <w:p w14:paraId="2A337AA1" w14:textId="77777777" w:rsidR="00D54710" w:rsidRPr="00D54710" w:rsidRDefault="00D54710" w:rsidP="00D54710">
            <w:r w:rsidRPr="00D54710">
              <w:t>Urban heat island</w:t>
            </w:r>
          </w:p>
        </w:tc>
        <w:tc>
          <w:tcPr>
            <w:tcW w:w="0" w:type="auto"/>
            <w:vAlign w:val="center"/>
            <w:hideMark/>
          </w:tcPr>
          <w:p w14:paraId="13F440B7" w14:textId="77777777" w:rsidR="00D54710" w:rsidRPr="00D54710" w:rsidRDefault="00D54710" w:rsidP="00D54710">
            <w:r w:rsidRPr="00D54710">
              <w:t>Heat stress in summer; can accelerate leaf drop in some species</w:t>
            </w:r>
          </w:p>
        </w:tc>
        <w:tc>
          <w:tcPr>
            <w:tcW w:w="0" w:type="auto"/>
            <w:vAlign w:val="center"/>
            <w:hideMark/>
          </w:tcPr>
          <w:p w14:paraId="1C63783C" w14:textId="77777777" w:rsidR="00D54710" w:rsidRPr="00D54710" w:rsidRDefault="00D54710" w:rsidP="00D54710">
            <w:r w:rsidRPr="00D54710">
              <w:t>–10–25%</w:t>
            </w:r>
          </w:p>
        </w:tc>
      </w:tr>
      <w:tr w:rsidR="00D54710" w:rsidRPr="00D54710" w14:paraId="2EC66482" w14:textId="77777777">
        <w:trPr>
          <w:tblCellSpacing w:w="15" w:type="dxa"/>
        </w:trPr>
        <w:tc>
          <w:tcPr>
            <w:tcW w:w="0" w:type="auto"/>
            <w:vAlign w:val="center"/>
            <w:hideMark/>
          </w:tcPr>
          <w:p w14:paraId="6F9BC9CF" w14:textId="77777777" w:rsidR="00D54710" w:rsidRPr="00D54710" w:rsidRDefault="00D54710" w:rsidP="00D54710">
            <w:r w:rsidRPr="00D54710">
              <w:lastRenderedPageBreak/>
              <w:t>Air pollution loading</w:t>
            </w:r>
          </w:p>
        </w:tc>
        <w:tc>
          <w:tcPr>
            <w:tcW w:w="0" w:type="auto"/>
            <w:vAlign w:val="center"/>
            <w:hideMark/>
          </w:tcPr>
          <w:p w14:paraId="469A0515" w14:textId="77777777" w:rsidR="00D54710" w:rsidRPr="00D54710" w:rsidRDefault="00D54710" w:rsidP="00D54710">
            <w:r w:rsidRPr="00D54710">
              <w:t>Particulate deposits on leaf surfaces reduce photosynthetic efficiency; leaf damage</w:t>
            </w:r>
          </w:p>
        </w:tc>
        <w:tc>
          <w:tcPr>
            <w:tcW w:w="0" w:type="auto"/>
            <w:vAlign w:val="center"/>
            <w:hideMark/>
          </w:tcPr>
          <w:p w14:paraId="1DC1CC46" w14:textId="77777777" w:rsidR="00D54710" w:rsidRPr="00D54710" w:rsidRDefault="00D54710" w:rsidP="00D54710">
            <w:r w:rsidRPr="00D54710">
              <w:t>–5–15%</w:t>
            </w:r>
          </w:p>
        </w:tc>
      </w:tr>
      <w:tr w:rsidR="00D54710" w:rsidRPr="00D54710" w14:paraId="12137157" w14:textId="77777777">
        <w:trPr>
          <w:tblCellSpacing w:w="15" w:type="dxa"/>
        </w:trPr>
        <w:tc>
          <w:tcPr>
            <w:tcW w:w="0" w:type="auto"/>
            <w:vAlign w:val="center"/>
            <w:hideMark/>
          </w:tcPr>
          <w:p w14:paraId="0C0AA938" w14:textId="77777777" w:rsidR="00D54710" w:rsidRPr="00D54710" w:rsidRDefault="00D54710" w:rsidP="00D54710">
            <w:r w:rsidRPr="00D54710">
              <w:t>Pruning</w:t>
            </w:r>
          </w:p>
        </w:tc>
        <w:tc>
          <w:tcPr>
            <w:tcW w:w="0" w:type="auto"/>
            <w:vAlign w:val="center"/>
            <w:hideMark/>
          </w:tcPr>
          <w:p w14:paraId="100A8298" w14:textId="77777777" w:rsidR="00D54710" w:rsidRPr="00D54710" w:rsidRDefault="00D54710" w:rsidP="00D54710">
            <w:r w:rsidRPr="00D54710">
              <w:t>Direct removal of leaf area; management-imposed ceiling</w:t>
            </w:r>
          </w:p>
        </w:tc>
        <w:tc>
          <w:tcPr>
            <w:tcW w:w="0" w:type="auto"/>
            <w:vAlign w:val="center"/>
            <w:hideMark/>
          </w:tcPr>
          <w:p w14:paraId="7E40AC00" w14:textId="77777777" w:rsidR="00D54710" w:rsidRPr="00D54710" w:rsidRDefault="00D54710" w:rsidP="00D54710">
            <w:r w:rsidRPr="00D54710">
              <w:t>Highly variable</w:t>
            </w:r>
          </w:p>
        </w:tc>
      </w:tr>
      <w:tr w:rsidR="00D54710" w:rsidRPr="00D54710" w14:paraId="7F34450C" w14:textId="77777777">
        <w:trPr>
          <w:tblCellSpacing w:w="15" w:type="dxa"/>
        </w:trPr>
        <w:tc>
          <w:tcPr>
            <w:tcW w:w="0" w:type="auto"/>
            <w:vAlign w:val="center"/>
            <w:hideMark/>
          </w:tcPr>
          <w:p w14:paraId="0EEFDB78" w14:textId="77777777" w:rsidR="00D54710" w:rsidRPr="00D54710" w:rsidRDefault="00D54710" w:rsidP="00D54710">
            <w:r w:rsidRPr="00D54710">
              <w:t>Impervious surfaces</w:t>
            </w:r>
          </w:p>
        </w:tc>
        <w:tc>
          <w:tcPr>
            <w:tcW w:w="0" w:type="auto"/>
            <w:vAlign w:val="center"/>
            <w:hideMark/>
          </w:tcPr>
          <w:p w14:paraId="22C33B4D" w14:textId="77777777" w:rsidR="00D54710" w:rsidRPr="00D54710" w:rsidRDefault="00D54710" w:rsidP="00D54710">
            <w:r w:rsidRPr="00D54710">
              <w:t>Reduced infiltration → soil moisture deficit; increased root zone temperature</w:t>
            </w:r>
          </w:p>
        </w:tc>
        <w:tc>
          <w:tcPr>
            <w:tcW w:w="0" w:type="auto"/>
            <w:vAlign w:val="center"/>
            <w:hideMark/>
          </w:tcPr>
          <w:p w14:paraId="36C6AEFF" w14:textId="77777777" w:rsidR="00D54710" w:rsidRPr="00D54710" w:rsidRDefault="00D54710" w:rsidP="00D54710">
            <w:r w:rsidRPr="00D54710">
              <w:t>–15–30%</w:t>
            </w:r>
          </w:p>
        </w:tc>
      </w:tr>
      <w:tr w:rsidR="00D54710" w:rsidRPr="00D54710" w14:paraId="6EF35C2D" w14:textId="77777777">
        <w:trPr>
          <w:tblCellSpacing w:w="15" w:type="dxa"/>
        </w:trPr>
        <w:tc>
          <w:tcPr>
            <w:tcW w:w="0" w:type="auto"/>
            <w:vAlign w:val="center"/>
            <w:hideMark/>
          </w:tcPr>
          <w:p w14:paraId="1349EA74" w14:textId="77777777" w:rsidR="00D54710" w:rsidRPr="00D54710" w:rsidRDefault="00D54710" w:rsidP="00D54710">
            <w:r w:rsidRPr="00D54710">
              <w:t>Night-time lighting</w:t>
            </w:r>
          </w:p>
        </w:tc>
        <w:tc>
          <w:tcPr>
            <w:tcW w:w="0" w:type="auto"/>
            <w:vAlign w:val="center"/>
            <w:hideMark/>
          </w:tcPr>
          <w:p w14:paraId="15B418D1" w14:textId="77777777" w:rsidR="00D54710" w:rsidRPr="00D54710" w:rsidRDefault="00D54710" w:rsidP="00D54710">
            <w:r w:rsidRPr="00D54710">
              <w:t>Delays leaf senescence in deciduous species (can be positive or disruptive)</w:t>
            </w:r>
          </w:p>
        </w:tc>
        <w:tc>
          <w:tcPr>
            <w:tcW w:w="0" w:type="auto"/>
            <w:vAlign w:val="center"/>
            <w:hideMark/>
          </w:tcPr>
          <w:p w14:paraId="3928D800" w14:textId="77777777" w:rsidR="00D54710" w:rsidRPr="00D54710" w:rsidRDefault="00D54710" w:rsidP="00D54710">
            <w:r w:rsidRPr="00D54710">
              <w:t>±5–10%</w:t>
            </w:r>
          </w:p>
        </w:tc>
      </w:tr>
    </w:tbl>
    <w:p w14:paraId="092424EF" w14:textId="77777777" w:rsidR="00D54710" w:rsidRPr="00D54710" w:rsidRDefault="00D54710" w:rsidP="00D54710">
      <w:r w:rsidRPr="00D54710">
        <w:t xml:space="preserve">The aggregate effect is the 30–60% reduction that your database currently discloses as a flat disclaimer. The important advance — which becomes Version 1.3 — is replacing that flat percentage with </w:t>
      </w:r>
      <w:r w:rsidRPr="00D54710">
        <w:rPr>
          <w:b/>
          <w:bCs/>
        </w:rPr>
        <w:t>installation-type adjustment factors</w:t>
      </w:r>
      <w:r w:rsidRPr="00D54710">
        <w:t>, because the stressor profile differs sharply by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3913"/>
        <w:gridCol w:w="2377"/>
      </w:tblGrid>
      <w:tr w:rsidR="00D54710" w:rsidRPr="00D54710" w14:paraId="02FAAE24" w14:textId="77777777">
        <w:trPr>
          <w:tblHeader/>
          <w:tblCellSpacing w:w="15" w:type="dxa"/>
        </w:trPr>
        <w:tc>
          <w:tcPr>
            <w:tcW w:w="0" w:type="auto"/>
            <w:vAlign w:val="center"/>
            <w:hideMark/>
          </w:tcPr>
          <w:p w14:paraId="4AA99E98" w14:textId="77777777" w:rsidR="00D54710" w:rsidRPr="00D54710" w:rsidRDefault="00D54710" w:rsidP="00D54710">
            <w:pPr>
              <w:rPr>
                <w:b/>
                <w:bCs/>
              </w:rPr>
            </w:pPr>
            <w:r w:rsidRPr="00D54710">
              <w:rPr>
                <w:b/>
                <w:bCs/>
              </w:rPr>
              <w:t>Installation type</w:t>
            </w:r>
          </w:p>
        </w:tc>
        <w:tc>
          <w:tcPr>
            <w:tcW w:w="0" w:type="auto"/>
            <w:vAlign w:val="center"/>
            <w:hideMark/>
          </w:tcPr>
          <w:p w14:paraId="683608C7" w14:textId="77777777" w:rsidR="00D54710" w:rsidRPr="00D54710" w:rsidRDefault="00D54710" w:rsidP="00D54710">
            <w:pPr>
              <w:rPr>
                <w:b/>
                <w:bCs/>
              </w:rPr>
            </w:pPr>
            <w:r w:rsidRPr="00D54710">
              <w:rPr>
                <w:b/>
                <w:bCs/>
              </w:rPr>
              <w:t>Dominant stressors</w:t>
            </w:r>
          </w:p>
        </w:tc>
        <w:tc>
          <w:tcPr>
            <w:tcW w:w="0" w:type="auto"/>
            <w:vAlign w:val="center"/>
            <w:hideMark/>
          </w:tcPr>
          <w:p w14:paraId="7BFBB925" w14:textId="77777777" w:rsidR="00D54710" w:rsidRPr="00D54710" w:rsidRDefault="00D54710" w:rsidP="00D54710">
            <w:pPr>
              <w:rPr>
                <w:b/>
                <w:bCs/>
              </w:rPr>
            </w:pPr>
            <w:r w:rsidRPr="00D54710">
              <w:rPr>
                <w:b/>
                <w:bCs/>
              </w:rPr>
              <w:t>Approximate LAI adjustment</w:t>
            </w:r>
          </w:p>
        </w:tc>
      </w:tr>
      <w:tr w:rsidR="00D54710" w:rsidRPr="00D54710" w14:paraId="6FF0A48F" w14:textId="77777777">
        <w:trPr>
          <w:tblCellSpacing w:w="15" w:type="dxa"/>
        </w:trPr>
        <w:tc>
          <w:tcPr>
            <w:tcW w:w="0" w:type="auto"/>
            <w:vAlign w:val="center"/>
            <w:hideMark/>
          </w:tcPr>
          <w:p w14:paraId="65F74B8E" w14:textId="77777777" w:rsidR="00D54710" w:rsidRPr="00D54710" w:rsidRDefault="00D54710" w:rsidP="00D54710">
            <w:r w:rsidRPr="00D54710">
              <w:t>Street tree pit</w:t>
            </w:r>
          </w:p>
        </w:tc>
        <w:tc>
          <w:tcPr>
            <w:tcW w:w="0" w:type="auto"/>
            <w:vAlign w:val="center"/>
            <w:hideMark/>
          </w:tcPr>
          <w:p w14:paraId="5B1A746F" w14:textId="77777777" w:rsidR="00D54710" w:rsidRPr="00D54710" w:rsidRDefault="00D54710" w:rsidP="00D54710">
            <w:r w:rsidRPr="00D54710">
              <w:t>Root restriction, compaction, pollution, heat</w:t>
            </w:r>
          </w:p>
        </w:tc>
        <w:tc>
          <w:tcPr>
            <w:tcW w:w="0" w:type="auto"/>
            <w:vAlign w:val="center"/>
            <w:hideMark/>
          </w:tcPr>
          <w:p w14:paraId="20F19BBF" w14:textId="77777777" w:rsidR="00D54710" w:rsidRPr="00D54710" w:rsidRDefault="00D54710" w:rsidP="00D54710">
            <w:r w:rsidRPr="00D54710">
              <w:t>0.40–0.60 × reference</w:t>
            </w:r>
          </w:p>
        </w:tc>
      </w:tr>
      <w:tr w:rsidR="00D54710" w:rsidRPr="00D54710" w14:paraId="02365C23" w14:textId="77777777">
        <w:trPr>
          <w:tblCellSpacing w:w="15" w:type="dxa"/>
        </w:trPr>
        <w:tc>
          <w:tcPr>
            <w:tcW w:w="0" w:type="auto"/>
            <w:vAlign w:val="center"/>
            <w:hideMark/>
          </w:tcPr>
          <w:p w14:paraId="7DE5E84C" w14:textId="77777777" w:rsidR="00D54710" w:rsidRPr="00D54710" w:rsidRDefault="00D54710" w:rsidP="00D54710">
            <w:r w:rsidRPr="00D54710">
              <w:t>Podium/deck garden (&gt;1m substrate)</w:t>
            </w:r>
          </w:p>
        </w:tc>
        <w:tc>
          <w:tcPr>
            <w:tcW w:w="0" w:type="auto"/>
            <w:vAlign w:val="center"/>
            <w:hideMark/>
          </w:tcPr>
          <w:p w14:paraId="780DB09B" w14:textId="77777777" w:rsidR="00D54710" w:rsidRPr="00D54710" w:rsidRDefault="00D54710" w:rsidP="00D54710">
            <w:r w:rsidRPr="00D54710">
              <w:t>Moderate root restriction, irrigation-managed</w:t>
            </w:r>
          </w:p>
        </w:tc>
        <w:tc>
          <w:tcPr>
            <w:tcW w:w="0" w:type="auto"/>
            <w:vAlign w:val="center"/>
            <w:hideMark/>
          </w:tcPr>
          <w:p w14:paraId="403D1408" w14:textId="77777777" w:rsidR="00D54710" w:rsidRPr="00D54710" w:rsidRDefault="00D54710" w:rsidP="00D54710">
            <w:r w:rsidRPr="00D54710">
              <w:t>0.65–0.80 × reference</w:t>
            </w:r>
          </w:p>
        </w:tc>
      </w:tr>
      <w:tr w:rsidR="00D54710" w:rsidRPr="00D54710" w14:paraId="1B7B6C05" w14:textId="77777777">
        <w:trPr>
          <w:tblCellSpacing w:w="15" w:type="dxa"/>
        </w:trPr>
        <w:tc>
          <w:tcPr>
            <w:tcW w:w="0" w:type="auto"/>
            <w:vAlign w:val="center"/>
            <w:hideMark/>
          </w:tcPr>
          <w:p w14:paraId="7A796D66" w14:textId="77777777" w:rsidR="00D54710" w:rsidRPr="00D54710" w:rsidRDefault="00D54710" w:rsidP="00D54710">
            <w:r w:rsidRPr="00D54710">
              <w:t>Green roof intensive (&gt;300mm)</w:t>
            </w:r>
          </w:p>
        </w:tc>
        <w:tc>
          <w:tcPr>
            <w:tcW w:w="0" w:type="auto"/>
            <w:vAlign w:val="center"/>
            <w:hideMark/>
          </w:tcPr>
          <w:p w14:paraId="1F66D539" w14:textId="77777777" w:rsidR="00D54710" w:rsidRPr="00D54710" w:rsidRDefault="00D54710" w:rsidP="00D54710">
            <w:r w:rsidRPr="00D54710">
              <w:t>Substrate limits, wind exposure</w:t>
            </w:r>
          </w:p>
        </w:tc>
        <w:tc>
          <w:tcPr>
            <w:tcW w:w="0" w:type="auto"/>
            <w:vAlign w:val="center"/>
            <w:hideMark/>
          </w:tcPr>
          <w:p w14:paraId="470EBD27" w14:textId="77777777" w:rsidR="00D54710" w:rsidRPr="00D54710" w:rsidRDefault="00D54710" w:rsidP="00D54710">
            <w:r w:rsidRPr="00D54710">
              <w:t>0.55–0.70 × reference</w:t>
            </w:r>
          </w:p>
        </w:tc>
      </w:tr>
      <w:tr w:rsidR="00D54710" w:rsidRPr="00D54710" w14:paraId="23866218" w14:textId="77777777">
        <w:trPr>
          <w:tblCellSpacing w:w="15" w:type="dxa"/>
        </w:trPr>
        <w:tc>
          <w:tcPr>
            <w:tcW w:w="0" w:type="auto"/>
            <w:vAlign w:val="center"/>
            <w:hideMark/>
          </w:tcPr>
          <w:p w14:paraId="68EBB00A" w14:textId="77777777" w:rsidR="00D54710" w:rsidRPr="00D54710" w:rsidRDefault="00D54710" w:rsidP="00D54710">
            <w:r w:rsidRPr="00D54710">
              <w:t>Green roof extensive (&lt;150mm)</w:t>
            </w:r>
          </w:p>
        </w:tc>
        <w:tc>
          <w:tcPr>
            <w:tcW w:w="0" w:type="auto"/>
            <w:vAlign w:val="center"/>
            <w:hideMark/>
          </w:tcPr>
          <w:p w14:paraId="34CD60A0" w14:textId="77777777" w:rsidR="00D54710" w:rsidRPr="00D54710" w:rsidRDefault="00D54710" w:rsidP="00D54710">
            <w:r w:rsidRPr="00D54710">
              <w:t>Severe substrate limits; only groundcovers viable</w:t>
            </w:r>
          </w:p>
        </w:tc>
        <w:tc>
          <w:tcPr>
            <w:tcW w:w="0" w:type="auto"/>
            <w:vAlign w:val="center"/>
            <w:hideMark/>
          </w:tcPr>
          <w:p w14:paraId="4600B0AB" w14:textId="77777777" w:rsidR="00D54710" w:rsidRPr="00D54710" w:rsidRDefault="00D54710" w:rsidP="00D54710">
            <w:r w:rsidRPr="00D54710">
              <w:t>0.30–0.50 × reference</w:t>
            </w:r>
          </w:p>
        </w:tc>
      </w:tr>
      <w:tr w:rsidR="00D54710" w:rsidRPr="00D54710" w14:paraId="477A74CA" w14:textId="77777777">
        <w:trPr>
          <w:tblCellSpacing w:w="15" w:type="dxa"/>
        </w:trPr>
        <w:tc>
          <w:tcPr>
            <w:tcW w:w="0" w:type="auto"/>
            <w:vAlign w:val="center"/>
            <w:hideMark/>
          </w:tcPr>
          <w:p w14:paraId="756E019E" w14:textId="77777777" w:rsidR="00D54710" w:rsidRPr="00D54710" w:rsidRDefault="00D54710" w:rsidP="00D54710">
            <w:r w:rsidRPr="00D54710">
              <w:t>Vertical green wall (planted)</w:t>
            </w:r>
          </w:p>
        </w:tc>
        <w:tc>
          <w:tcPr>
            <w:tcW w:w="0" w:type="auto"/>
            <w:vAlign w:val="center"/>
            <w:hideMark/>
          </w:tcPr>
          <w:p w14:paraId="1840EE81" w14:textId="77777777" w:rsidR="00D54710" w:rsidRPr="00D54710" w:rsidRDefault="00D54710" w:rsidP="00D54710">
            <w:r w:rsidRPr="00D54710">
              <w:t>Irrigation-dependent, wind exposure, root medium volume</w:t>
            </w:r>
          </w:p>
        </w:tc>
        <w:tc>
          <w:tcPr>
            <w:tcW w:w="0" w:type="auto"/>
            <w:vAlign w:val="center"/>
            <w:hideMark/>
          </w:tcPr>
          <w:p w14:paraId="0E0A981E" w14:textId="77777777" w:rsidR="00D54710" w:rsidRPr="00D54710" w:rsidRDefault="00D54710" w:rsidP="00D54710">
            <w:r w:rsidRPr="00D54710">
              <w:t>0.40–0.60 × reference</w:t>
            </w:r>
          </w:p>
        </w:tc>
      </w:tr>
      <w:tr w:rsidR="00D54710" w:rsidRPr="00D54710" w14:paraId="5166B770" w14:textId="77777777">
        <w:trPr>
          <w:tblCellSpacing w:w="15" w:type="dxa"/>
        </w:trPr>
        <w:tc>
          <w:tcPr>
            <w:tcW w:w="0" w:type="auto"/>
            <w:vAlign w:val="center"/>
            <w:hideMark/>
          </w:tcPr>
          <w:p w14:paraId="3FDF4492" w14:textId="77777777" w:rsidR="00D54710" w:rsidRPr="00D54710" w:rsidRDefault="00D54710" w:rsidP="00D54710">
            <w:r w:rsidRPr="00D54710">
              <w:t>Park open ground</w:t>
            </w:r>
          </w:p>
        </w:tc>
        <w:tc>
          <w:tcPr>
            <w:tcW w:w="0" w:type="auto"/>
            <w:vAlign w:val="center"/>
            <w:hideMark/>
          </w:tcPr>
          <w:p w14:paraId="7356710C" w14:textId="77777777" w:rsidR="00D54710" w:rsidRPr="00D54710" w:rsidRDefault="00D54710" w:rsidP="00D54710">
            <w:r w:rsidRPr="00D54710">
              <w:t>Closest to reference conditions</w:t>
            </w:r>
          </w:p>
        </w:tc>
        <w:tc>
          <w:tcPr>
            <w:tcW w:w="0" w:type="auto"/>
            <w:vAlign w:val="center"/>
            <w:hideMark/>
          </w:tcPr>
          <w:p w14:paraId="563BDBA9" w14:textId="77777777" w:rsidR="00D54710" w:rsidRPr="00D54710" w:rsidRDefault="00D54710" w:rsidP="00D54710">
            <w:r w:rsidRPr="00D54710">
              <w:t>0.80–1.0 × reference</w:t>
            </w:r>
          </w:p>
        </w:tc>
      </w:tr>
    </w:tbl>
    <w:p w14:paraId="6C9823BE" w14:textId="77777777" w:rsidR="00D54710" w:rsidRPr="00D54710" w:rsidRDefault="00D54710" w:rsidP="00D54710">
      <w:r w:rsidRPr="00D54710">
        <w:t>These modifiers don't exist in the published literature at the precision needed for your database — this is the research gap your urban field campaigns would fill.</w:t>
      </w:r>
    </w:p>
    <w:p w14:paraId="23A02AFC" w14:textId="77777777" w:rsidR="00D54710" w:rsidRPr="00D54710" w:rsidRDefault="00000000" w:rsidP="00D54710">
      <w:r>
        <w:pict w14:anchorId="30E6B02C">
          <v:rect id="_x0000_i1027" style="width:0;height:1.5pt" o:hralign="center" o:hrstd="t" o:hr="t" fillcolor="#a0a0a0" stroked="f"/>
        </w:pict>
      </w:r>
    </w:p>
    <w:p w14:paraId="529DBBDE" w14:textId="77777777" w:rsidR="00D54710" w:rsidRPr="00D54710" w:rsidRDefault="00D54710" w:rsidP="00D54710">
      <w:pPr>
        <w:rPr>
          <w:b/>
          <w:bCs/>
        </w:rPr>
      </w:pPr>
      <w:r w:rsidRPr="00D54710">
        <w:rPr>
          <w:b/>
          <w:bCs/>
        </w:rPr>
        <w:t>Ecological services calculation from LAI</w:t>
      </w:r>
    </w:p>
    <w:p w14:paraId="083D27F1" w14:textId="77777777" w:rsidR="00D54710" w:rsidRPr="00D54710" w:rsidRDefault="00D54710" w:rsidP="00D54710">
      <w:r w:rsidRPr="00D54710">
        <w:rPr>
          <w:b/>
          <w:bCs/>
        </w:rPr>
        <w:t>CO₂ sequestration</w:t>
      </w:r>
    </w:p>
    <w:p w14:paraId="2D31F86E" w14:textId="77777777" w:rsidR="00D54710" w:rsidRPr="00D54710" w:rsidRDefault="00D54710" w:rsidP="00D54710">
      <w:r w:rsidRPr="00D54710">
        <w:lastRenderedPageBreak/>
        <w:t xml:space="preserve">Two distinct things are often conflated: carbon </w:t>
      </w:r>
      <w:r w:rsidRPr="00D54710">
        <w:rPr>
          <w:i/>
          <w:iCs/>
        </w:rPr>
        <w:t>stored</w:t>
      </w:r>
      <w:r w:rsidRPr="00D54710">
        <w:t xml:space="preserve"> in biomass, and carbon </w:t>
      </w:r>
      <w:r w:rsidRPr="00D54710">
        <w:rPr>
          <w:i/>
          <w:iCs/>
        </w:rPr>
        <w:t>sequestered</w:t>
      </w:r>
      <w:r w:rsidRPr="00D54710">
        <w:t xml:space="preserve"> annually through photosynthesis. LAI is most directly relevant to the latter.</w:t>
      </w:r>
    </w:p>
    <w:p w14:paraId="7114706B" w14:textId="77777777" w:rsidR="00D54710" w:rsidRPr="00D54710" w:rsidRDefault="00D54710" w:rsidP="00D54710">
      <w:r w:rsidRPr="00D54710">
        <w:t>Annual GPP (Gross Primary Production) is modelled using the Beer-Lambert light interception law:</w:t>
      </w:r>
    </w:p>
    <w:p w14:paraId="3829BE9E" w14:textId="77777777" w:rsidR="00D54710" w:rsidRPr="00D54710" w:rsidRDefault="00D54710" w:rsidP="00D54710">
      <w:r w:rsidRPr="00D54710">
        <w:t xml:space="preserve">Absorbed PAR = </w:t>
      </w:r>
      <w:proofErr w:type="spellStart"/>
      <w:r w:rsidRPr="00D54710">
        <w:t>PAR_incident</w:t>
      </w:r>
      <w:proofErr w:type="spellEnd"/>
      <w:r w:rsidRPr="00D54710">
        <w:t xml:space="preserve"> × (1 − e^(−k × LAI))</w:t>
      </w:r>
    </w:p>
    <w:p w14:paraId="34829614" w14:textId="77777777" w:rsidR="00D54710" w:rsidRPr="00D54710" w:rsidRDefault="00D54710" w:rsidP="00D54710">
      <w:r w:rsidRPr="00D54710">
        <w:t>where k is the light extinction coefficient (~0.5 for most broadleaf trees). GPP scales approximately linearly with absorbed PAR at the leaf level. Annual net carbon sequestration (NEP) then requires subtracting autotrophic and soil respiration — this is where the models become complex and species-specific.</w:t>
      </w:r>
    </w:p>
    <w:p w14:paraId="10C45F93" w14:textId="77777777" w:rsidR="00D54710" w:rsidRPr="00D54710" w:rsidRDefault="00D54710" w:rsidP="00D54710">
      <w:r w:rsidRPr="00D54710">
        <w:t xml:space="preserve">For design-tool purposes, the practical approach is empirical allometric relationships: trees sequester roughly 10–50 kg C per year depending on size and species, and these values are available from the </w:t>
      </w:r>
      <w:proofErr w:type="spellStart"/>
      <w:r w:rsidRPr="00D54710">
        <w:t>i</w:t>
      </w:r>
      <w:proofErr w:type="spellEnd"/>
      <w:r w:rsidRPr="00D54710">
        <w:t xml:space="preserve">-Tree database and McPherson's urban tree tables. LAI provides the underlying mechanistic explanation but the allometric shortcut is more tractable for per-plant calculations in a design tool. Your database should eventually carry </w:t>
      </w:r>
      <w:proofErr w:type="spellStart"/>
      <w:r w:rsidRPr="00D54710">
        <w:t>carbon_sequestration_kg_yr</w:t>
      </w:r>
      <w:proofErr w:type="spellEnd"/>
      <w:r w:rsidRPr="00D54710">
        <w:t xml:space="preserve"> as an output field, derived from LAI + canopy size + climate zone, but this is an output calculation layer rather than a schema field per se.</w:t>
      </w:r>
    </w:p>
    <w:p w14:paraId="589349DE" w14:textId="77777777" w:rsidR="00D54710" w:rsidRPr="00D54710" w:rsidRDefault="00D54710" w:rsidP="00D54710">
      <w:r w:rsidRPr="00D54710">
        <w:rPr>
          <w:b/>
          <w:bCs/>
        </w:rPr>
        <w:t>Hydrological impact</w:t>
      </w:r>
    </w:p>
    <w:p w14:paraId="25859DB8" w14:textId="77777777" w:rsidR="00D54710" w:rsidRPr="00D54710" w:rsidRDefault="00D54710" w:rsidP="00D54710">
      <w:r w:rsidRPr="00D54710">
        <w:t>This is where LAI is most directly useful. Two mechanisms:</w:t>
      </w:r>
    </w:p>
    <w:p w14:paraId="12006E0B" w14:textId="77777777" w:rsidR="00D54710" w:rsidRPr="00D54710" w:rsidRDefault="00D54710" w:rsidP="00D54710">
      <w:r w:rsidRPr="00D54710">
        <w:rPr>
          <w:i/>
          <w:iCs/>
        </w:rPr>
        <w:t>Rainfall interception</w:t>
      </w:r>
      <w:r w:rsidRPr="00D54710">
        <w:t xml:space="preserve"> — the volume of precipitation caught on leaf surfaces before it reaches the ground:</w:t>
      </w:r>
    </w:p>
    <w:p w14:paraId="358A5970" w14:textId="77777777" w:rsidR="00D54710" w:rsidRPr="00D54710" w:rsidRDefault="00D54710" w:rsidP="00D54710">
      <w:r w:rsidRPr="00D54710">
        <w:t xml:space="preserve">Interception depth (mm) ≈ </w:t>
      </w:r>
      <w:proofErr w:type="spellStart"/>
      <w:r w:rsidRPr="00D54710">
        <w:t>S_leaf</w:t>
      </w:r>
      <w:proofErr w:type="spellEnd"/>
      <w:r w:rsidRPr="00D54710">
        <w:t xml:space="preserve"> × (1 − e^(−LAI/</w:t>
      </w:r>
      <w:proofErr w:type="spellStart"/>
      <w:r w:rsidRPr="00D54710">
        <w:t>S_leaf</w:t>
      </w:r>
      <w:proofErr w:type="spellEnd"/>
      <w:r w:rsidRPr="00D54710">
        <w:t>))</w:t>
      </w:r>
    </w:p>
    <w:p w14:paraId="1795F56E" w14:textId="77777777" w:rsidR="00D54710" w:rsidRPr="00D54710" w:rsidRDefault="00D54710" w:rsidP="00D54710">
      <w:r w:rsidRPr="00D54710">
        <w:t xml:space="preserve">where </w:t>
      </w:r>
      <w:proofErr w:type="spellStart"/>
      <w:r w:rsidRPr="00D54710">
        <w:t>S_leaf</w:t>
      </w:r>
      <w:proofErr w:type="spellEnd"/>
      <w:r w:rsidRPr="00D54710">
        <w:t xml:space="preserve"> is the leaf storage capacity (~0.2–0.5 mm per mm of LAI depending on leaf surface texture). At LAI = 4, a broadleaf tree intercepts roughly 1–2 mm per rainfall event — meaningful for stormwater attenuation calculations.</w:t>
      </w:r>
    </w:p>
    <w:p w14:paraId="6EF54B55" w14:textId="77777777" w:rsidR="00D54710" w:rsidRPr="00D54710" w:rsidRDefault="00D54710" w:rsidP="00D54710">
      <w:r w:rsidRPr="00D54710">
        <w:rPr>
          <w:i/>
          <w:iCs/>
        </w:rPr>
        <w:t>Evapotranspiration</w:t>
      </w:r>
      <w:r w:rsidRPr="00D54710">
        <w:t xml:space="preserve"> — the Penman-Monteith equation incorporates LAI through stomatal conductance. Higher LAI means more total transpiring surface, higher latent heat flux, greater soil moisture drawdown between rainfall events, and therefore greater stormwater attenuation capacity. Practically, the Big Leaf model simplifies this as surface conductance scaling linearly with LAI up to a saturating point.</w:t>
      </w:r>
    </w:p>
    <w:p w14:paraId="5357FBEE" w14:textId="77777777" w:rsidR="00D54710" w:rsidRPr="00D54710" w:rsidRDefault="00D54710" w:rsidP="00D54710">
      <w:r w:rsidRPr="00D54710">
        <w:rPr>
          <w:b/>
          <w:bCs/>
        </w:rPr>
        <w:t>Temperature reduction</w:t>
      </w:r>
    </w:p>
    <w:p w14:paraId="7168C3A2" w14:textId="77777777" w:rsidR="00D54710" w:rsidRPr="00D54710" w:rsidRDefault="00D54710" w:rsidP="00D54710">
      <w:r w:rsidRPr="00D54710">
        <w:t>Two mechanisms: shading and evaporative cooling.</w:t>
      </w:r>
    </w:p>
    <w:p w14:paraId="5B260673" w14:textId="77777777" w:rsidR="00D54710" w:rsidRPr="00D54710" w:rsidRDefault="00D54710" w:rsidP="00D54710">
      <w:r w:rsidRPr="00D54710">
        <w:t>Shade fraction (the proportion of solar radiation blocked by the canopy) is again governed by Beer-Lambert: shade fraction = 1 − e^(−k × LAI). At LAI = 2, a canopy blocks about 63% of incoming radiation; at LAI = 4, about 86%. This directly drives the reduction in surface temperature beneath the canopy.</w:t>
      </w:r>
    </w:p>
    <w:p w14:paraId="5CD2597E" w14:textId="77777777" w:rsidR="00D54710" w:rsidRPr="00D54710" w:rsidRDefault="00D54710" w:rsidP="00D54710">
      <w:r w:rsidRPr="00D54710">
        <w:lastRenderedPageBreak/>
        <w:t>Evaporative cooling is the latent heat removed from the air through transpiration. At site scale, this is proportional to total leaf area × stomatal conductance × VPD. Cities with higher aggregate LAI show measurably lower daytime temperatures — this is the mechanism behind the urban heat island mitigation effect of street trees and parks.</w:t>
      </w:r>
    </w:p>
    <w:p w14:paraId="0CC03050" w14:textId="77777777" w:rsidR="00D54710" w:rsidRPr="00D54710" w:rsidRDefault="00D54710" w:rsidP="00D54710">
      <w:r w:rsidRPr="00D54710">
        <w:rPr>
          <w:b/>
          <w:bCs/>
        </w:rPr>
        <w:t>Air quality</w:t>
      </w:r>
    </w:p>
    <w:p w14:paraId="440A1201" w14:textId="77777777" w:rsidR="00D54710" w:rsidRPr="00D54710" w:rsidRDefault="00D54710" w:rsidP="00D54710">
      <w:r w:rsidRPr="00D54710">
        <w:t>Particulate matter capture scales roughly as:</w:t>
      </w:r>
    </w:p>
    <w:p w14:paraId="516178E5" w14:textId="77777777" w:rsidR="00D54710" w:rsidRPr="00D54710" w:rsidRDefault="00D54710" w:rsidP="00D54710">
      <w:r w:rsidRPr="00D54710">
        <w:t xml:space="preserve">PM capture rate </w:t>
      </w:r>
      <w:r w:rsidRPr="00D54710">
        <w:rPr>
          <w:rFonts w:ascii="Cambria Math" w:hAnsi="Cambria Math" w:cs="Cambria Math"/>
        </w:rPr>
        <w:t>∝</w:t>
      </w:r>
      <w:r w:rsidRPr="00D54710">
        <w:t xml:space="preserve"> LAI </w:t>
      </w:r>
      <w:r w:rsidRPr="00D54710">
        <w:rPr>
          <w:rFonts w:ascii="Aptos" w:hAnsi="Aptos" w:cs="Aptos"/>
        </w:rPr>
        <w:t>×</w:t>
      </w:r>
      <w:r w:rsidRPr="00D54710">
        <w:t xml:space="preserve"> </w:t>
      </w:r>
      <w:proofErr w:type="spellStart"/>
      <w:r w:rsidRPr="00D54710">
        <w:t>V_d</w:t>
      </w:r>
      <w:proofErr w:type="spellEnd"/>
    </w:p>
    <w:p w14:paraId="2367BC70" w14:textId="77777777" w:rsidR="00D54710" w:rsidRPr="00D54710" w:rsidRDefault="00D54710" w:rsidP="00D54710">
      <w:r w:rsidRPr="00D54710">
        <w:t xml:space="preserve">where </w:t>
      </w:r>
      <w:proofErr w:type="spellStart"/>
      <w:r w:rsidRPr="00D54710">
        <w:t>V_d</w:t>
      </w:r>
      <w:proofErr w:type="spellEnd"/>
      <w:r w:rsidRPr="00D54710">
        <w:t xml:space="preserve"> is the dry deposition velocity (a function of leaf surface roughness and wind speed). Conifers with small needles and rough surfaces have higher </w:t>
      </w:r>
      <w:proofErr w:type="spellStart"/>
      <w:r w:rsidRPr="00D54710">
        <w:t>V_d</w:t>
      </w:r>
      <w:proofErr w:type="spellEnd"/>
      <w:r w:rsidRPr="00D54710">
        <w:t xml:space="preserve"> than smooth broadleaf species. This is one area where conifer hedges outperform broadleaf trees of equivalent LAI for air quality, despite usually having lower GPR contribution.</w:t>
      </w:r>
    </w:p>
    <w:p w14:paraId="5DB4E6F5" w14:textId="77777777" w:rsidR="00D54710" w:rsidRPr="00D54710" w:rsidRDefault="00000000" w:rsidP="00D54710">
      <w:r>
        <w:pict w14:anchorId="1D01540A">
          <v:rect id="_x0000_i1028" style="width:0;height:1.5pt" o:hralign="center" o:hrstd="t" o:hr="t" fillcolor="#a0a0a0" stroked="f"/>
        </w:pict>
      </w:r>
    </w:p>
    <w:p w14:paraId="000D2FC8" w14:textId="77777777" w:rsidR="00D54710" w:rsidRPr="00D54710" w:rsidRDefault="00D54710" w:rsidP="00D54710">
      <w:pPr>
        <w:rPr>
          <w:b/>
          <w:bCs/>
        </w:rPr>
      </w:pPr>
      <w:r w:rsidRPr="00D54710">
        <w:rPr>
          <w:b/>
          <w:bCs/>
        </w:rPr>
        <w:t>GPR–NDVI–LAI linkage</w:t>
      </w:r>
    </w:p>
    <w:p w14:paraId="14EEB8EA" w14:textId="77777777" w:rsidR="00D54710" w:rsidRPr="00D54710" w:rsidRDefault="00D54710" w:rsidP="00D54710">
      <w:r w:rsidRPr="00D54710">
        <w:t>The connection is real but non-trivial. NDVI measures reflectance contrast between near-infrared (strongly reflected by leaves) and red (strongly absorbed for photosynthesis):</w:t>
      </w:r>
    </w:p>
    <w:p w14:paraId="2538B7C3" w14:textId="77777777" w:rsidR="00D54710" w:rsidRPr="00D54710" w:rsidRDefault="00D54710" w:rsidP="00D54710">
      <w:r w:rsidRPr="00D54710">
        <w:t>NDVI = (NIR − Red) / (NIR + Red)</w:t>
      </w:r>
    </w:p>
    <w:p w14:paraId="0BEE714E" w14:textId="77777777" w:rsidR="00D54710" w:rsidRPr="00D54710" w:rsidRDefault="00D54710" w:rsidP="00D54710">
      <w:r w:rsidRPr="00D54710">
        <w:t>LAI and NDVI are related empirically through the Beer-Lambert inversion:</w:t>
      </w:r>
    </w:p>
    <w:p w14:paraId="557D66D8" w14:textId="77777777" w:rsidR="00D54710" w:rsidRPr="00D54710" w:rsidRDefault="00D54710" w:rsidP="00D54710">
      <w:r w:rsidRPr="00D54710">
        <w:t>LAI ≈ −ln(1 − NDVI / 0.95) / k</w:t>
      </w:r>
    </w:p>
    <w:p w14:paraId="46DF5E6F" w14:textId="77777777" w:rsidR="00D54710" w:rsidRPr="00D54710" w:rsidRDefault="00D54710" w:rsidP="00D54710">
      <w:r w:rsidRPr="00D54710">
        <w:t xml:space="preserve">or polynomial fits calibrated for specific vegetation types. The relationship </w:t>
      </w:r>
      <w:r w:rsidRPr="00D54710">
        <w:rPr>
          <w:b/>
          <w:bCs/>
        </w:rPr>
        <w:t>saturates above LAI ≈ 4–5</w:t>
      </w:r>
      <w:r w:rsidRPr="00D54710">
        <w:t xml:space="preserve"> — at high LAI, additional leaf area makes diminishing difference to the spectral signal, because the canopy is already optically dense.</w:t>
      </w:r>
    </w:p>
    <w:p w14:paraId="0236ACBB" w14:textId="77777777" w:rsidR="00D54710" w:rsidRPr="00D54710" w:rsidRDefault="00D54710" w:rsidP="00D54710">
      <w:r w:rsidRPr="00D54710">
        <w:rPr>
          <w:b/>
          <w:bCs/>
        </w:rPr>
        <w:t>For GPR, the connection is:</w:t>
      </w:r>
    </w:p>
    <w:p w14:paraId="068D44B3" w14:textId="77777777" w:rsidR="00D54710" w:rsidRPr="00D54710" w:rsidRDefault="00D54710" w:rsidP="00D54710">
      <w:r w:rsidRPr="00D54710">
        <w:t>GPR = Σ(</w:t>
      </w:r>
      <w:proofErr w:type="spellStart"/>
      <w:r w:rsidRPr="00D54710">
        <w:t>LAI_i</w:t>
      </w:r>
      <w:proofErr w:type="spellEnd"/>
      <w:r w:rsidRPr="00D54710">
        <w:t xml:space="preserve"> × Canopy </w:t>
      </w:r>
      <w:proofErr w:type="spellStart"/>
      <w:r w:rsidRPr="00D54710">
        <w:t>Area_i</w:t>
      </w:r>
      <w:proofErr w:type="spellEnd"/>
      <w:r w:rsidRPr="00D54710">
        <w:t>) / Site Area</w:t>
      </w:r>
    </w:p>
    <w:p w14:paraId="7491346F" w14:textId="77777777" w:rsidR="00D54710" w:rsidRPr="00D54710" w:rsidRDefault="00D54710" w:rsidP="00D54710">
      <w:r w:rsidRPr="00D54710">
        <w:t>At city scale, where you treat each pixel as a patch of vegetation, this becomes:</w:t>
      </w:r>
    </w:p>
    <w:p w14:paraId="01957A02" w14:textId="77777777" w:rsidR="00D54710" w:rsidRPr="00D54710" w:rsidRDefault="00D54710" w:rsidP="00D54710">
      <w:proofErr w:type="spellStart"/>
      <w:r w:rsidRPr="00D54710">
        <w:t>GPR_city</w:t>
      </w:r>
      <w:proofErr w:type="spellEnd"/>
      <w:r w:rsidRPr="00D54710">
        <w:t xml:space="preserve"> ≈ Σ(NDVI-derived </w:t>
      </w:r>
      <w:proofErr w:type="spellStart"/>
      <w:r w:rsidRPr="00D54710">
        <w:t>LAI_pixel</w:t>
      </w:r>
      <w:proofErr w:type="spellEnd"/>
      <w:r w:rsidRPr="00D54710">
        <w:t xml:space="preserve"> × Pixel Area) / City Area</w:t>
      </w:r>
    </w:p>
    <w:p w14:paraId="5E765473" w14:textId="77777777" w:rsidR="00D54710" w:rsidRPr="00D54710" w:rsidRDefault="00D54710" w:rsidP="00D54710">
      <w:r w:rsidRPr="00D54710">
        <w:t xml:space="preserve">This is precisely what Dong et al. (2025) do for city-scale urban tree LAI mapping — they use remote sensing to produce a spatial LAI map and aggregate it. Your database and GPR+ operate at the opposite end: site-scale, species-resolved, design-tool-facing. The two approaches are </w:t>
      </w:r>
      <w:proofErr w:type="gramStart"/>
      <w:r w:rsidRPr="00D54710">
        <w:t>complementary</w:t>
      </w:r>
      <w:proofErr w:type="gramEnd"/>
      <w:r w:rsidRPr="00D54710">
        <w:t xml:space="preserve"> and their results should be directly comparable where the same sites are measured.</w:t>
      </w:r>
    </w:p>
    <w:p w14:paraId="7C92A2AE" w14:textId="77777777" w:rsidR="00D54710" w:rsidRPr="00D54710" w:rsidRDefault="00D54710" w:rsidP="00D54710">
      <w:r w:rsidRPr="00D54710">
        <w:t xml:space="preserve">The strategic opportunity is a </w:t>
      </w:r>
      <w:r w:rsidRPr="00D54710">
        <w:rPr>
          <w:b/>
          <w:bCs/>
        </w:rPr>
        <w:t>calibration loop</w:t>
      </w:r>
      <w:r w:rsidRPr="00D54710">
        <w:t xml:space="preserve">: your GPR+ calculations for specific projects could be validated against NDVI-derived LAI at the same sites, and conversely, </w:t>
      </w:r>
      <w:r w:rsidRPr="00D54710">
        <w:lastRenderedPageBreak/>
        <w:t>your urban field measurements could improve the LAI–NDVI calibration functions used in remote sensing models for urban vegetation. This is the kind of cross-scale scientific contribution that makes the GPRI database genuinely novel.</w:t>
      </w:r>
    </w:p>
    <w:p w14:paraId="2077EFE3" w14:textId="77777777" w:rsidR="00D54710" w:rsidRPr="00D54710" w:rsidRDefault="00000000" w:rsidP="00D54710">
      <w:r>
        <w:pict w14:anchorId="5701C51E">
          <v:rect id="_x0000_i1029" style="width:0;height:1.5pt" o:hralign="center" o:hrstd="t" o:hr="t" fillcolor="#a0a0a0" stroked="f"/>
        </w:pict>
      </w:r>
    </w:p>
    <w:p w14:paraId="343AA8EA" w14:textId="77777777" w:rsidR="00D54710" w:rsidRPr="00D54710" w:rsidRDefault="00D54710" w:rsidP="00D54710">
      <w:pPr>
        <w:rPr>
          <w:b/>
          <w:bCs/>
        </w:rPr>
      </w:pPr>
      <w:r w:rsidRPr="00D54710">
        <w:rPr>
          <w:b/>
          <w:bCs/>
        </w:rPr>
        <w:t>Urban context complexities vs the base equation</w:t>
      </w:r>
    </w:p>
    <w:p w14:paraId="496EDD7E" w14:textId="77777777" w:rsidR="00D54710" w:rsidRPr="00D54710" w:rsidRDefault="00D54710" w:rsidP="00D54710">
      <w:r w:rsidRPr="00D54710">
        <w:t>The base GPR equation assumes the LAI value characterises a plant uniformly and independently. In open-ground ecology this is a reasonable approximation. In urban settings, several layers of complexity arise:</w:t>
      </w:r>
    </w:p>
    <w:p w14:paraId="3D34055D" w14:textId="77777777" w:rsidR="00D54710" w:rsidRPr="00D54710" w:rsidRDefault="00D54710" w:rsidP="00D54710">
      <w:r w:rsidRPr="00D54710">
        <w:rPr>
          <w:b/>
          <w:bCs/>
        </w:rPr>
        <w:t>1. Spatial heterogeneity within a site.</w:t>
      </w:r>
      <w:r w:rsidRPr="00D54710">
        <w:t xml:space="preserve"> A park with scattered trees and mown grass has profoundly uneven LAI distribution. The GPR formula aggregates this, which is appropriate for a planning metric but loses information needed for detailed microclimate modelling. The ecological services (shade, temperature reduction) are spatially distributed, not uniform across the site.</w:t>
      </w:r>
    </w:p>
    <w:p w14:paraId="0FBE8B6B" w14:textId="77777777" w:rsidR="00D54710" w:rsidRPr="00D54710" w:rsidRDefault="00D54710" w:rsidP="00D54710">
      <w:r w:rsidRPr="00D54710">
        <w:rPr>
          <w:b/>
          <w:bCs/>
        </w:rPr>
        <w:t>2. Vertical layering (stacking).</w:t>
      </w:r>
      <w:r w:rsidRPr="00D54710">
        <w:t xml:space="preserve"> Where trees overhang shrubs overhang groundcovers, Beer-Lambert applies in sequence — upper canopy intercepts some fraction of light, lower canopy gets the remainder. Total light interception is not simply the sum of individual LAI values. However, </w:t>
      </w:r>
      <w:r w:rsidRPr="00D54710">
        <w:rPr>
          <w:i/>
          <w:iCs/>
        </w:rPr>
        <w:t>total leaf area</w:t>
      </w:r>
      <w:r w:rsidRPr="00D54710">
        <w:t xml:space="preserve"> — the numerator of GPR — is additive regardless of stacking, because you are counting leaves, not light interception. GPR as a metric is correctly additive. But ecological service calculations that depend on light interception need to account for the Beer-Lambert sequence through stacked strata.</w:t>
      </w:r>
    </w:p>
    <w:p w14:paraId="1BF7380D" w14:textId="77777777" w:rsidR="00D54710" w:rsidRPr="00D54710" w:rsidRDefault="00D54710" w:rsidP="00D54710">
      <w:r w:rsidRPr="00D54710">
        <w:rPr>
          <w:b/>
          <w:bCs/>
        </w:rPr>
        <w:t>3. Edge effects.</w:t>
      </w:r>
      <w:r w:rsidRPr="00D54710">
        <w:t xml:space="preserve"> Urban trees are almost never in closed stands. An isolated street tree has much more edge exposure than a forest tree. This means higher wind speed, higher evapotranspiration demand, and typically lower LAI than a forest tree of the same species (because the leaf area supportable by roots is limited but the demand from the exposed canopy is higher).</w:t>
      </w:r>
    </w:p>
    <w:p w14:paraId="762E1CB1" w14:textId="77777777" w:rsidR="00D54710" w:rsidRPr="00D54710" w:rsidRDefault="00D54710" w:rsidP="00D54710">
      <w:r w:rsidRPr="00D54710">
        <w:rPr>
          <w:b/>
          <w:bCs/>
        </w:rPr>
        <w:t>4. Phenological disruption.</w:t>
      </w:r>
      <w:r w:rsidRPr="00D54710">
        <w:t xml:space="preserve"> Urban heat islands advance leaf-out by 2–3 weeks and delay leaf fall by similar margins in temperate cities. This extends the functional growing season, which matters for annual ecosystem service totals, but the LAI value itself at any moment in the active season may be unchanged.</w:t>
      </w:r>
    </w:p>
    <w:p w14:paraId="620FA790" w14:textId="77777777" w:rsidR="00D54710" w:rsidRPr="00D54710" w:rsidRDefault="00D54710" w:rsidP="00D54710">
      <w:r w:rsidRPr="00D54710">
        <w:rPr>
          <w:b/>
          <w:bCs/>
        </w:rPr>
        <w:t>5. Substrate as a binding constraint.</w:t>
      </w:r>
      <w:r w:rsidRPr="00D54710">
        <w:t xml:space="preserve"> In open ground, root volume is functionally unlimited. In urban plantings, substrate volume (tree pit, green roof depth, planter box) is the hard ceiling on crown development and thus on achievable LAI. This is why installation-type adjustment factors are not just empirical corrections — they have a mechanistic basis in </w:t>
      </w:r>
      <w:proofErr w:type="spellStart"/>
      <w:r w:rsidRPr="00D54710">
        <w:t>root:shoot</w:t>
      </w:r>
      <w:proofErr w:type="spellEnd"/>
      <w:r w:rsidRPr="00D54710">
        <w:t xml:space="preserve"> allocation theory.</w:t>
      </w:r>
    </w:p>
    <w:p w14:paraId="0D9C237F" w14:textId="77777777" w:rsidR="00D54710" w:rsidRPr="00D54710" w:rsidRDefault="00D54710" w:rsidP="00D54710">
      <w:r w:rsidRPr="00D54710">
        <w:rPr>
          <w:b/>
          <w:bCs/>
        </w:rPr>
        <w:t>6. The measurement-scale mismatch.</w:t>
      </w:r>
      <w:r w:rsidRPr="00D54710">
        <w:t xml:space="preserve"> ORNL and TRY LAI values are measured at the scale of a canopy projected footprint — they are intensive measures (leaf area per unit canopy area). Satellite NDVI-derived LAI is an extensive measure at pixel scale (typically </w:t>
      </w:r>
      <w:r w:rsidRPr="00D54710">
        <w:lastRenderedPageBreak/>
        <w:t>10–500m). GPR uses the intensive value (</w:t>
      </w:r>
      <w:proofErr w:type="spellStart"/>
      <w:r w:rsidRPr="00D54710">
        <w:t>LAI_species</w:t>
      </w:r>
      <w:proofErr w:type="spellEnd"/>
      <w:r w:rsidRPr="00D54710">
        <w:t>) multiplied by an extensive quantity (canopy area of each plant). This is methodologically sound, but it means your database values and satellite-derived urban LAI maps are measuring related but distinct quantities, and the calibration between them requires care.</w:t>
      </w:r>
    </w:p>
    <w:p w14:paraId="3A0A6CFE" w14:textId="77777777" w:rsidR="00D54710" w:rsidRPr="00D54710" w:rsidRDefault="00000000" w:rsidP="00D54710">
      <w:r>
        <w:pict w14:anchorId="79F406A8">
          <v:rect id="_x0000_i1030" style="width:0;height:1.5pt" o:hralign="center" o:hrstd="t" o:hr="t" fillcolor="#a0a0a0" stroked="f"/>
        </w:pict>
      </w:r>
    </w:p>
    <w:p w14:paraId="3D042C68" w14:textId="77777777" w:rsidR="00D54710" w:rsidRPr="00D54710" w:rsidRDefault="00D54710" w:rsidP="00D54710">
      <w:pPr>
        <w:rPr>
          <w:b/>
          <w:bCs/>
        </w:rPr>
      </w:pPr>
      <w:r w:rsidRPr="00D54710">
        <w:rPr>
          <w:b/>
          <w:bCs/>
        </w:rPr>
        <w:t>Implications for the database and paper</w:t>
      </w:r>
    </w:p>
    <w:p w14:paraId="64286D57" w14:textId="77777777" w:rsidR="00D54710" w:rsidRPr="00D54710" w:rsidRDefault="00D54710" w:rsidP="00D54710">
      <w:r w:rsidRPr="00D54710">
        <w:t xml:space="preserve">The schema already has the right architecture for most of this — </w:t>
      </w:r>
      <w:proofErr w:type="spellStart"/>
      <w:r w:rsidRPr="00D54710">
        <w:t>lai_context</w:t>
      </w:r>
      <w:proofErr w:type="spellEnd"/>
      <w:r w:rsidRPr="00D54710">
        <w:t xml:space="preserve"> (urban/natural), </w:t>
      </w:r>
      <w:proofErr w:type="spellStart"/>
      <w:r w:rsidRPr="00D54710">
        <w:t>lai_method</w:t>
      </w:r>
      <w:proofErr w:type="spellEnd"/>
      <w:r w:rsidRPr="00D54710">
        <w:t xml:space="preserve">, </w:t>
      </w:r>
      <w:proofErr w:type="spellStart"/>
      <w:r w:rsidRPr="00D54710">
        <w:t>lai_measurement_koppen</w:t>
      </w:r>
      <w:proofErr w:type="spellEnd"/>
      <w:r w:rsidRPr="00D54710">
        <w:t xml:space="preserve">, </w:t>
      </w:r>
      <w:proofErr w:type="spellStart"/>
      <w:r w:rsidRPr="00D54710">
        <w:t>urban_context</w:t>
      </w:r>
      <w:proofErr w:type="spellEnd"/>
      <w:r w:rsidRPr="00D54710">
        <w:t>, and the tier system. What it needs to grow into is:</w:t>
      </w:r>
    </w:p>
    <w:p w14:paraId="7DF7A175" w14:textId="77777777" w:rsidR="00D54710" w:rsidRPr="00D54710" w:rsidRDefault="00D54710" w:rsidP="00D54710">
      <w:pPr>
        <w:numPr>
          <w:ilvl w:val="0"/>
          <w:numId w:val="4"/>
        </w:numPr>
      </w:pPr>
      <w:r w:rsidRPr="00D54710">
        <w:rPr>
          <w:b/>
          <w:bCs/>
        </w:rPr>
        <w:t>Growth-stage modifiers</w:t>
      </w:r>
      <w:r w:rsidRPr="00D54710">
        <w:t xml:space="preserve"> (Version 1.3 research agenda)</w:t>
      </w:r>
    </w:p>
    <w:p w14:paraId="1FF9F334" w14:textId="77777777" w:rsidR="00D54710" w:rsidRPr="00D54710" w:rsidRDefault="00D54710" w:rsidP="00D54710">
      <w:pPr>
        <w:numPr>
          <w:ilvl w:val="0"/>
          <w:numId w:val="4"/>
        </w:numPr>
      </w:pPr>
      <w:r w:rsidRPr="00D54710">
        <w:rPr>
          <w:b/>
          <w:bCs/>
        </w:rPr>
        <w:t>Installation-type adjustment factors</w:t>
      </w:r>
      <w:r w:rsidRPr="00D54710">
        <w:t xml:space="preserve"> (Version 1.3 research agenda — the key output of your future urban field campaigns)</w:t>
      </w:r>
    </w:p>
    <w:p w14:paraId="52F3C25E" w14:textId="77777777" w:rsidR="00D54710" w:rsidRPr="00D54710" w:rsidRDefault="00D54710" w:rsidP="00D54710">
      <w:pPr>
        <w:numPr>
          <w:ilvl w:val="0"/>
          <w:numId w:val="4"/>
        </w:numPr>
      </w:pPr>
      <w:r w:rsidRPr="00D54710">
        <w:rPr>
          <w:b/>
          <w:bCs/>
        </w:rPr>
        <w:t>Ecological service output fields</w:t>
      </w:r>
      <w:r w:rsidRPr="00D54710">
        <w:t xml:space="preserve"> — </w:t>
      </w:r>
      <w:proofErr w:type="spellStart"/>
      <w:r w:rsidRPr="00D54710">
        <w:t>carbon_seq_kg_yr</w:t>
      </w:r>
      <w:proofErr w:type="spellEnd"/>
      <w:r w:rsidRPr="00D54710">
        <w:t xml:space="preserve">, </w:t>
      </w:r>
      <w:proofErr w:type="spellStart"/>
      <w:r w:rsidRPr="00D54710">
        <w:t>rain_interception_mm_per_event</w:t>
      </w:r>
      <w:proofErr w:type="spellEnd"/>
      <w:r w:rsidRPr="00D54710">
        <w:t>, et_cooling_W_m2 — as calculated outputs from LAI + canopy area + climate zone (Version 2.0)</w:t>
      </w:r>
    </w:p>
    <w:p w14:paraId="6C747DFE" w14:textId="77777777" w:rsidR="00D54710" w:rsidRPr="00D54710" w:rsidRDefault="00D54710" w:rsidP="00D54710">
      <w:pPr>
        <w:numPr>
          <w:ilvl w:val="0"/>
          <w:numId w:val="4"/>
        </w:numPr>
      </w:pPr>
      <w:r w:rsidRPr="00D54710">
        <w:rPr>
          <w:b/>
          <w:bCs/>
        </w:rPr>
        <w:t>Extinction coefficient k</w:t>
      </w:r>
      <w:r w:rsidRPr="00D54710">
        <w:t xml:space="preserve"> per PFT or species (needed for light interception and cooling calculations; currently absent from the schema)</w:t>
      </w:r>
    </w:p>
    <w:p w14:paraId="4DE14F20" w14:textId="479C9919" w:rsidR="00D54710" w:rsidRDefault="00D54710" w:rsidP="00D54710">
      <w:r w:rsidRPr="00D54710">
        <w:t xml:space="preserve">The Data Descriptor should explicitly frame the database as the </w:t>
      </w:r>
      <w:r w:rsidRPr="00D54710">
        <w:rPr>
          <w:b/>
          <w:bCs/>
        </w:rPr>
        <w:t>first layer of a tiered ecological services model</w:t>
      </w:r>
      <w:r w:rsidRPr="00D54710">
        <w:t xml:space="preserve"> — the LAI values enable GPR calculation now, and the schema is designed to support derived ecological service outputs as the field campaign data arrives. That framing is both accurate and positions the database's trajectory clearly for reviewers.</w:t>
      </w:r>
    </w:p>
    <w:sectPr w:rsidR="00D54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62ABB"/>
    <w:multiLevelType w:val="multilevel"/>
    <w:tmpl w:val="EB6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117D3"/>
    <w:multiLevelType w:val="multilevel"/>
    <w:tmpl w:val="4604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0408AC"/>
    <w:multiLevelType w:val="multilevel"/>
    <w:tmpl w:val="B2A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12D55"/>
    <w:multiLevelType w:val="multilevel"/>
    <w:tmpl w:val="7FD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95757">
    <w:abstractNumId w:val="1"/>
  </w:num>
  <w:num w:numId="2" w16cid:durableId="965429194">
    <w:abstractNumId w:val="3"/>
  </w:num>
  <w:num w:numId="3" w16cid:durableId="1857040097">
    <w:abstractNumId w:val="0"/>
  </w:num>
  <w:num w:numId="4" w16cid:durableId="199649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710"/>
    <w:rsid w:val="0008247E"/>
    <w:rsid w:val="000D2C98"/>
    <w:rsid w:val="001D7E43"/>
    <w:rsid w:val="0029638D"/>
    <w:rsid w:val="002E3CA0"/>
    <w:rsid w:val="00315AC5"/>
    <w:rsid w:val="00585A2B"/>
    <w:rsid w:val="0067007F"/>
    <w:rsid w:val="00721555"/>
    <w:rsid w:val="00732D07"/>
    <w:rsid w:val="00844690"/>
    <w:rsid w:val="00946AAD"/>
    <w:rsid w:val="00BF07C5"/>
    <w:rsid w:val="00C936D1"/>
    <w:rsid w:val="00D00279"/>
    <w:rsid w:val="00D54710"/>
    <w:rsid w:val="00F329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3AE2E"/>
  <w15:chartTrackingRefBased/>
  <w15:docId w15:val="{98818EC5-4CDF-4C50-A0F9-BD907F2E2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7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7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7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7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0D2C98"/>
    <w:pPr>
      <w:pageBreakBefore/>
      <w:framePr w:wrap="notBeside" w:vAnchor="text" w:hAnchor="text" w:y="1"/>
      <w:pBdr>
        <w:bottom w:val="single" w:sz="4" w:space="1" w:color="auto"/>
      </w:pBdr>
      <w:shd w:val="clear" w:color="auto" w:fill="FAD7A0"/>
    </w:pPr>
    <w:rPr>
      <w:b/>
      <w:bCs/>
      <w:sz w:val="22"/>
    </w:rPr>
  </w:style>
  <w:style w:type="character" w:customStyle="1" w:styleId="QuestionChar">
    <w:name w:val="Question Char"/>
    <w:basedOn w:val="DefaultParagraphFont"/>
    <w:link w:val="Question"/>
    <w:rsid w:val="000D2C98"/>
    <w:rPr>
      <w:b/>
      <w:bCs/>
      <w:sz w:val="22"/>
      <w:shd w:val="clear" w:color="auto" w:fill="FAD7A0"/>
    </w:rPr>
  </w:style>
  <w:style w:type="character" w:customStyle="1" w:styleId="Heading1Char">
    <w:name w:val="Heading 1 Char"/>
    <w:basedOn w:val="DefaultParagraphFont"/>
    <w:link w:val="Heading1"/>
    <w:uiPriority w:val="9"/>
    <w:rsid w:val="00D54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710"/>
    <w:rPr>
      <w:rFonts w:eastAsiaTheme="majorEastAsia" w:cstheme="majorBidi"/>
      <w:color w:val="272727" w:themeColor="text1" w:themeTint="D8"/>
    </w:rPr>
  </w:style>
  <w:style w:type="paragraph" w:styleId="Title">
    <w:name w:val="Title"/>
    <w:basedOn w:val="Normal"/>
    <w:next w:val="Normal"/>
    <w:link w:val="TitleChar"/>
    <w:uiPriority w:val="10"/>
    <w:qFormat/>
    <w:rsid w:val="00D00279"/>
    <w:pPr>
      <w:pBdr>
        <w:bottom w:val="single" w:sz="4" w:space="1" w:color="auto"/>
      </w:pBdr>
      <w:spacing w:after="80" w:line="240" w:lineRule="auto"/>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D00279"/>
    <w:rPr>
      <w:rFonts w:asciiTheme="majorHAnsi" w:eastAsiaTheme="majorEastAsia" w:hAnsiTheme="majorHAnsi" w:cstheme="majorBidi"/>
      <w:b/>
      <w:spacing w:val="-10"/>
      <w:kern w:val="28"/>
      <w:sz w:val="48"/>
      <w:szCs w:val="56"/>
    </w:rPr>
  </w:style>
  <w:style w:type="paragraph" w:styleId="Subtitle">
    <w:name w:val="Subtitle"/>
    <w:basedOn w:val="Normal"/>
    <w:next w:val="Normal"/>
    <w:link w:val="SubtitleChar"/>
    <w:uiPriority w:val="11"/>
    <w:qFormat/>
    <w:rsid w:val="00D547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710"/>
    <w:pPr>
      <w:spacing w:before="160"/>
      <w:jc w:val="center"/>
    </w:pPr>
    <w:rPr>
      <w:i/>
      <w:iCs/>
      <w:color w:val="404040" w:themeColor="text1" w:themeTint="BF"/>
    </w:rPr>
  </w:style>
  <w:style w:type="character" w:customStyle="1" w:styleId="QuoteChar">
    <w:name w:val="Quote Char"/>
    <w:basedOn w:val="DefaultParagraphFont"/>
    <w:link w:val="Quote"/>
    <w:uiPriority w:val="29"/>
    <w:rsid w:val="00D54710"/>
    <w:rPr>
      <w:i/>
      <w:iCs/>
      <w:color w:val="404040" w:themeColor="text1" w:themeTint="BF"/>
    </w:rPr>
  </w:style>
  <w:style w:type="paragraph" w:styleId="ListParagraph">
    <w:name w:val="List Paragraph"/>
    <w:basedOn w:val="Normal"/>
    <w:uiPriority w:val="34"/>
    <w:qFormat/>
    <w:rsid w:val="00D54710"/>
    <w:pPr>
      <w:ind w:left="720"/>
      <w:contextualSpacing/>
    </w:pPr>
  </w:style>
  <w:style w:type="character" w:styleId="IntenseEmphasis">
    <w:name w:val="Intense Emphasis"/>
    <w:basedOn w:val="DefaultParagraphFont"/>
    <w:uiPriority w:val="21"/>
    <w:qFormat/>
    <w:rsid w:val="00D54710"/>
    <w:rPr>
      <w:i/>
      <w:iCs/>
      <w:color w:val="0F4761" w:themeColor="accent1" w:themeShade="BF"/>
    </w:rPr>
  </w:style>
  <w:style w:type="paragraph" w:styleId="IntenseQuote">
    <w:name w:val="Intense Quote"/>
    <w:basedOn w:val="Normal"/>
    <w:next w:val="Normal"/>
    <w:link w:val="IntenseQuoteChar"/>
    <w:uiPriority w:val="30"/>
    <w:qFormat/>
    <w:rsid w:val="00D54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710"/>
    <w:rPr>
      <w:i/>
      <w:iCs/>
      <w:color w:val="0F4761" w:themeColor="accent1" w:themeShade="BF"/>
    </w:rPr>
  </w:style>
  <w:style w:type="character" w:styleId="IntenseReference">
    <w:name w:val="Intense Reference"/>
    <w:basedOn w:val="DefaultParagraphFont"/>
    <w:uiPriority w:val="32"/>
    <w:qFormat/>
    <w:rsid w:val="00D547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F06804-1B0B-46AE-B3B6-15C6F3347269}">
  <we:reference id="WA200001361" version="2.129.3.0" store="Omex" storeType="OMEX"/>
  <we:alternateReferences>
    <we:reference id="WA200001361" version="2.129.3.0" store="WA20000136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1</Pages>
  <Words>2071</Words>
  <Characters>11578</Characters>
  <Application>Microsoft Office Word</Application>
  <DocSecurity>0</DocSecurity>
  <Lines>167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 Ong</dc:creator>
  <cp:keywords/>
  <dc:description/>
  <cp:lastModifiedBy>Boon Ong</cp:lastModifiedBy>
  <cp:revision>5</cp:revision>
  <dcterms:created xsi:type="dcterms:W3CDTF">2026-05-25T05:38:00Z</dcterms:created>
  <dcterms:modified xsi:type="dcterms:W3CDTF">2026-05-25T07:56:00Z</dcterms:modified>
</cp:coreProperties>
</file>