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F5C99" w:sz="12" w:space="12"/>
        </w:pBdr>
        <w:spacing w:after="0" w:before="0"/>
      </w:pPr>
      <w:r>
        <w:rPr>
          <w:rFonts w:ascii="Arial" w:cs="Arial" w:eastAsia="Arial" w:hAnsi="Arial"/>
          <w:color w:val="999999"/>
          <w:sz w:val="18"/>
          <w:szCs w:val="18"/>
        </w:rPr>
        <w:t xml:space="preserve">COMMERCIAL-IN-CONFIDENCE</w:t>
      </w:r>
    </w:p>
    <w:p>
      <w:pPr>
        <w:spacing w:after="0" w:before="240"/>
      </w:pPr>
      <w:r>
        <w:t xml:space="preserve"/>
      </w:r>
    </w:p>
    <w:p>
      <w:pPr>
        <w:spacing w:after="60" w:before="0"/>
        <w:jc w:val="left"/>
      </w:pPr>
      <w:r>
        <w:rPr>
          <w:rFonts w:ascii="Arial" w:cs="Arial" w:eastAsia="Arial" w:hAnsi="Arial"/>
          <w:b w:val="false"/>
          <w:bCs w:val="false"/>
          <w:color w:val="888888"/>
          <w:sz w:val="20"/>
          <w:szCs w:val="20"/>
        </w:rPr>
        <w:t xml:space="preserve">PROPOSAL TO CURTIN COMMERCIALISATION</w:t>
      </w:r>
    </w:p>
    <w:p>
      <w:pPr>
        <w:spacing w:after="80" w:before="0"/>
      </w:pPr>
      <w:r>
        <w:rPr>
          <w:rFonts w:ascii="Arial" w:cs="Arial" w:eastAsia="Arial" w:hAnsi="Arial"/>
          <w:b/>
          <w:bCs/>
          <w:color w:val="1F5C99"/>
          <w:sz w:val="40"/>
          <w:szCs w:val="40"/>
        </w:rPr>
        <w:t xml:space="preserve">Establishing the Green Plot Ratio Institute (GPRI)</w:t>
      </w:r>
    </w:p>
    <w:p>
      <w:pPr>
        <w:spacing w:after="40" w:before="0"/>
      </w:pPr>
      <w:r>
        <w:rPr>
          <w:rFonts w:ascii="Arial" w:cs="Arial" w:eastAsia="Arial" w:hAnsi="Arial"/>
          <w:i/>
          <w:iCs/>
          <w:color w:val="2E75B6"/>
          <w:sz w:val="26"/>
          <w:szCs w:val="26"/>
        </w:rPr>
        <w:t xml:space="preserve">A Curtin-Affiliated Research and Commercialisation Institute</w:t>
      </w:r>
    </w:p>
    <w:p>
      <w:pPr>
        <w:spacing w:after="0" w:before="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Submitted by</w:t>
            </w:r>
          </w:p>
        </w:tc>
        <w:tc>
          <w:tcPr>
            <w:tcW w:type="dxa" w:w="68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Dr Boon Lay Ong, Senior Lecturer, Curtin University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Date</w:t>
            </w:r>
          </w:p>
        </w:tc>
        <w:tc>
          <w:tcPr>
            <w:tcW w:type="dxa" w:w="6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24 May 2026</w:t>
            </w:r>
          </w:p>
        </w:tc>
      </w:tr>
      <w:tr>
        <w:tc>
          <w:tcPr>
            <w:tcW w:type="dxa" w:w="22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Classification</w:t>
            </w:r>
          </w:p>
        </w:tc>
        <w:tc>
          <w:tcPr>
            <w:tcW w:type="dxa" w:w="68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Commercial-in-Confidence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Submitted to</w:t>
            </w:r>
          </w:p>
        </w:tc>
        <w:tc>
          <w:tcPr>
            <w:tcW w:type="dxa" w:w="6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Curtin Commercialisation Office</w:t>
            </w:r>
          </w:p>
        </w:tc>
      </w:tr>
    </w:tbl>
    <w:p>
      <w:pPr>
        <w:spacing w:after="0" w:before="360"/>
      </w:pPr>
      <w:r>
        <w:t xml:space="preserve"/>
      </w:r>
    </w:p>
    <w:p>
      <w:pPr>
        <w:pStyle w:val="Heading1"/>
        <w:pBdr>
          <w:bottom w:val="single" w:color="2E75B6" w:sz="6" w:space="6"/>
        </w:pBdr>
        <w:spacing w:after="120" w:before="360"/>
      </w:pPr>
      <w:r>
        <w:rPr>
          <w:rFonts w:ascii="Arial" w:cs="Arial" w:eastAsia="Arial" w:hAnsi="Arial"/>
          <w:b/>
          <w:bCs/>
          <w:color w:val="1F5C99"/>
          <w:sz w:val="28"/>
          <w:szCs w:val="28"/>
        </w:rPr>
        <w:t xml:space="preserve">1. Executive Summary</w:t>
      </w:r>
    </w:p>
    <w:p>
      <w:pPr>
        <w:spacing w:after="80" w:before="80"/>
      </w:pPr>
      <w:r>
        <w:rPr>
          <w:rFonts w:ascii="Arial" w:cs="Arial" w:eastAsia="Arial" w:hAnsi="Arial"/>
          <w:color w:val="404040"/>
          <w:sz w:val="22"/>
          <w:szCs w:val="22"/>
        </w:rPr>
        <w:t xml:space="preserve">This proposal seeks Curtin University's formal affiliation and endorsement for the Green Plot Ratio Institute (GPRI) — a research and commercialisation institute built on a world-first asset: the GPRI Global Plant Database, comprising over 30,000 plant species with Leaf Area Index (LAI) values calibrated for urban vegetation assessment.</w:t>
      </w:r>
    </w:p>
    <w:p>
      <w:pPr>
        <w:spacing w:after="0" w:before="80"/>
      </w:pPr>
      <w:r>
        <w:t xml:space="preserve"/>
      </w:r>
    </w:p>
    <w:p>
      <w:pPr>
        <w:spacing w:after="80" w:before="80"/>
      </w:pPr>
      <w:r>
        <w:rPr>
          <w:rFonts w:ascii="Arial" w:cs="Arial" w:eastAsia="Arial" w:hAnsi="Arial"/>
          <w:color w:val="404040"/>
          <w:sz w:val="22"/>
          <w:szCs w:val="22"/>
        </w:rPr>
        <w:t xml:space="preserve">GPRI is proposed as a self-funding Curtin Research Centre. It requires no ongoing financial commitment from Curtin. In return, Curtin gains reputational benefit, research output, and a revenue-sharing arrangement from a growing commercial enterprise grounded in peer-reviewed science.</w:t>
      </w:r>
    </w:p>
    <w:p>
      <w:pPr>
        <w:spacing w:after="0" w:before="80"/>
      </w:pPr>
      <w:r>
        <w:t xml:space="preserve"/>
      </w:r>
    </w:p>
    <w:p>
      <w:pPr>
        <w:spacing w:after="80" w:before="80"/>
      </w:pPr>
      <w:r>
        <w:rPr>
          <w:rFonts w:ascii="Arial" w:cs="Arial" w:eastAsia="Arial" w:hAnsi="Arial"/>
          <w:color w:val="404040"/>
          <w:sz w:val="22"/>
          <w:szCs w:val="22"/>
        </w:rPr>
        <w:t xml:space="preserve">The institute's scientific foundation is the Green Plot Ratio (GPR) metric, invented by the proposer and published in Landscape and Urban Planning (Ong 2003) — now cited over 464 times globally, establishing Curtin as an originating institution in urban greenery quantification.</w:t>
      </w:r>
    </w:p>
    <w:p>
      <w:pPr>
        <w:spacing w:after="0" w:before="240"/>
      </w:pPr>
      <w:r>
        <w:t xml:space="preserve"/>
      </w:r>
    </w:p>
    <w:p>
      <w:pPr>
        <w:pStyle w:val="Heading1"/>
        <w:pBdr>
          <w:bottom w:val="single" w:color="2E75B6" w:sz="6" w:space="6"/>
        </w:pBdr>
        <w:spacing w:after="120" w:before="360"/>
      </w:pPr>
      <w:r>
        <w:rPr>
          <w:rFonts w:ascii="Arial" w:cs="Arial" w:eastAsia="Arial" w:hAnsi="Arial"/>
          <w:b/>
          <w:bCs/>
          <w:color w:val="1F5C99"/>
          <w:sz w:val="28"/>
          <w:szCs w:val="28"/>
        </w:rPr>
        <w:t xml:space="preserve">2. Background and Opportunity</w:t>
      </w:r>
    </w:p>
    <w:p>
      <w:pPr>
        <w:pStyle w:val="Heading2"/>
        <w:spacing w:after="80" w:before="240"/>
      </w:pPr>
      <w:r>
        <w:rPr>
          <w:rFonts w:ascii="Arial" w:cs="Arial" w:eastAsia="Arial" w:hAnsi="Arial"/>
          <w:b/>
          <w:bCs/>
          <w:color w:val="2E75B6"/>
          <w:sz w:val="24"/>
          <w:szCs w:val="24"/>
        </w:rPr>
        <w:t xml:space="preserve">2.1 The Green Plot Ratio</w:t>
      </w:r>
    </w:p>
    <w:p>
      <w:pPr>
        <w:spacing w:after="80" w:before="80"/>
      </w:pPr>
      <w:r>
        <w:rPr>
          <w:rFonts w:ascii="Arial" w:cs="Arial" w:eastAsia="Arial" w:hAnsi="Arial"/>
          <w:color w:val="404040"/>
          <w:sz w:val="22"/>
          <w:szCs w:val="22"/>
        </w:rPr>
        <w:t xml:space="preserve">The Green Plot Ratio (GPR) is a quantitative metric for three-dimensional urban greenery, developed by the proposer and published in 2003 (DOI: 10.1016/S0169-2046(02)00191-3). With 464+ citations, GPR has become an internationally recognised standard for green infrastructure assessment, adopted in research and practice across Singapore, China, Europe, the Middle East, and Australia.</w:t>
      </w:r>
    </w:p>
    <w:p>
      <w:pPr>
        <w:spacing w:after="0" w:before="80"/>
      </w:pPr>
      <w:r>
        <w:t xml:space="preserve"/>
      </w:r>
    </w:p>
    <w:p>
      <w:pPr>
        <w:spacing w:after="80" w:before="80"/>
      </w:pPr>
      <w:r>
        <w:rPr>
          <w:rFonts w:ascii="Arial" w:cs="Arial" w:eastAsia="Arial" w:hAnsi="Arial"/>
          <w:color w:val="404040"/>
          <w:sz w:val="22"/>
          <w:szCs w:val="22"/>
        </w:rPr>
        <w:t xml:space="preserve">No other researcher holds the originating authority on GPR. Curtin is the institutional home of its inventor.</w:t>
      </w:r>
    </w:p>
    <w:p>
      <w:pPr>
        <w:spacing w:after="0" w:before="120"/>
      </w:pPr>
      <w:r>
        <w:t xml:space="preserve"/>
      </w:r>
    </w:p>
    <w:p>
      <w:pPr>
        <w:pStyle w:val="Heading2"/>
        <w:spacing w:after="80" w:before="240"/>
      </w:pPr>
      <w:r>
        <w:rPr>
          <w:rFonts w:ascii="Arial" w:cs="Arial" w:eastAsia="Arial" w:hAnsi="Arial"/>
          <w:b/>
          <w:bCs/>
          <w:color w:val="2E75B6"/>
          <w:sz w:val="24"/>
          <w:szCs w:val="24"/>
        </w:rPr>
        <w:t xml:space="preserve">2.2 The GPRI Global Plant Database</w:t>
      </w:r>
    </w:p>
    <w:p>
      <w:pPr>
        <w:spacing w:after="80" w:before="80"/>
      </w:pPr>
      <w:r>
        <w:rPr>
          <w:rFonts w:ascii="Arial" w:cs="Arial" w:eastAsia="Arial" w:hAnsi="Arial"/>
          <w:color w:val="404040"/>
          <w:sz w:val="22"/>
          <w:szCs w:val="22"/>
        </w:rPr>
        <w:t xml:space="preserve">The GPRI Global Plant Database is the most strategically significant asset in this proposal. It currently contains:</w:t>
      </w:r>
    </w:p>
    <w:p>
      <w:pPr>
        <w:spacing w:after="0" w:before="60"/>
      </w:pPr>
      <w:r>
        <w:t xml:space="preserve"/>
      </w:r>
    </w:p>
    <w:p>
      <w:pPr>
        <w:pStyle w:val="ListParagraph"/>
        <w:numPr>
          <w:ilvl w:val="0"/>
          <w:numId w:val="2"/>
        </w:numPr>
        <w:spacing w:after="60" w:before="60"/>
      </w:pPr>
      <w:r>
        <w:rPr>
          <w:rFonts w:ascii="Arial" w:cs="Arial" w:eastAsia="Arial" w:hAnsi="Arial"/>
          <w:b w:val="false"/>
          <w:bCs w:val="false"/>
          <w:color w:val="404040"/>
          <w:sz w:val="22"/>
          <w:szCs w:val="22"/>
        </w:rPr>
        <w:t xml:space="preserve">Over 30,000 plant species with LAI values</w:t>
      </w:r>
    </w:p>
    <w:p>
      <w:pPr>
        <w:pStyle w:val="ListParagraph"/>
        <w:numPr>
          <w:ilvl w:val="0"/>
          <w:numId w:val="2"/>
        </w:numPr>
        <w:spacing w:after="60" w:before="60"/>
      </w:pPr>
      <w:r>
        <w:rPr>
          <w:rFonts w:ascii="Arial" w:cs="Arial" w:eastAsia="Arial" w:hAnsi="Arial"/>
          <w:b w:val="false"/>
          <w:bCs w:val="false"/>
          <w:color w:val="404040"/>
          <w:sz w:val="22"/>
          <w:szCs w:val="22"/>
        </w:rPr>
        <w:t xml:space="preserve">Field-measured urban species data from Singapore — the only urban-calibrated LAI dataset of its kind</w:t>
      </w:r>
    </w:p>
    <w:p>
      <w:pPr>
        <w:pStyle w:val="ListParagraph"/>
        <w:numPr>
          <w:ilvl w:val="0"/>
          <w:numId w:val="2"/>
        </w:numPr>
        <w:spacing w:after="60" w:before="60"/>
      </w:pPr>
      <w:r>
        <w:rPr>
          <w:rFonts w:ascii="Arial" w:cs="Arial" w:eastAsia="Arial" w:hAnsi="Arial"/>
          <w:b w:val="false"/>
          <w:bCs w:val="false"/>
          <w:color w:val="404040"/>
          <w:sz w:val="22"/>
          <w:szCs w:val="22"/>
        </w:rPr>
        <w:t xml:space="preserve">Data sourced and compiled using multiple acquisition techniques across global botanical and ecological literature</w:t>
      </w:r>
    </w:p>
    <w:p>
      <w:pPr>
        <w:pStyle w:val="ListParagraph"/>
        <w:numPr>
          <w:ilvl w:val="0"/>
          <w:numId w:val="2"/>
        </w:numPr>
        <w:spacing w:after="60" w:before="60"/>
      </w:pPr>
      <w:r>
        <w:rPr>
          <w:rFonts w:ascii="Arial" w:cs="Arial" w:eastAsia="Arial" w:hAnsi="Arial"/>
          <w:b w:val="false"/>
          <w:bCs w:val="false"/>
          <w:color w:val="404040"/>
          <w:sz w:val="22"/>
          <w:szCs w:val="22"/>
        </w:rPr>
        <w:t xml:space="preserve">A structured provenance framework classifying each record by source type and confidence tier</w:t>
      </w:r>
    </w:p>
    <w:p>
      <w:pPr>
        <w:spacing w:after="0" w:before="80"/>
      </w:pPr>
      <w:r>
        <w:t xml:space="preserve"/>
      </w:r>
    </w:p>
    <w:p>
      <w:pPr>
        <w:spacing w:after="80" w:before="80"/>
      </w:pPr>
      <w:r>
        <w:rPr>
          <w:rFonts w:ascii="Arial" w:cs="Arial" w:eastAsia="Arial" w:hAnsi="Arial"/>
          <w:color w:val="404040"/>
          <w:sz w:val="22"/>
          <w:szCs w:val="22"/>
        </w:rPr>
        <w:t xml:space="preserve">No comparable database exists globally. TRY and ORNL — the two leading plant trait repositories — do not provide urban-calibrated LAI data at this scale or specificity. This database is the proposer's most strategically irreplicable asset and the commercial engine of GPRI.</w:t>
      </w:r>
    </w:p>
    <w:p>
      <w:pPr>
        <w:spacing w:after="0" w:before="120"/>
      </w:pPr>
      <w:r>
        <w:t xml:space="preserve"/>
      </w:r>
    </w:p>
    <w:p>
      <w:pPr>
        <w:pStyle w:val="Heading2"/>
        <w:spacing w:after="80" w:before="240"/>
      </w:pPr>
      <w:r>
        <w:rPr>
          <w:rFonts w:ascii="Arial" w:cs="Arial" w:eastAsia="Arial" w:hAnsi="Arial"/>
          <w:b/>
          <w:bCs/>
          <w:color w:val="2E75B6"/>
          <w:sz w:val="24"/>
          <w:szCs w:val="24"/>
        </w:rPr>
        <w:t xml:space="preserve">2.3 Market Context</w:t>
      </w:r>
    </w:p>
    <w:p>
      <w:pPr>
        <w:spacing w:after="80" w:before="80"/>
      </w:pPr>
      <w:r>
        <w:rPr>
          <w:rFonts w:ascii="Arial" w:cs="Arial" w:eastAsia="Arial" w:hAnsi="Arial"/>
          <w:color w:val="404040"/>
          <w:sz w:val="22"/>
          <w:szCs w:val="22"/>
        </w:rPr>
        <w:t xml:space="preserve">The database addresses a documented gap across three large and growing professional markets:</w:t>
      </w:r>
    </w:p>
    <w:p>
      <w:pPr>
        <w:spacing w:after="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400"/>
      </w:tblGrid>
      <w:tr>
        <w:tc>
          <w:tcPr>
            <w:tcW w:type="dxa" w:w="28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vAlign w:val="center"/>
          </w:tcPr>
          <w:p>
            <w:r>
              <w:rPr>
                <w:rFonts w:ascii="Arial" w:cs="Arial" w:eastAsia="Arial" w:hAnsi="Arial"/>
                <w:b/>
                <w:bCs/>
                <w:color w:val="FFFFFF"/>
                <w:sz w:val="20"/>
                <w:szCs w:val="20"/>
              </w:rPr>
              <w:t xml:space="preserve">Market Segment</w:t>
            </w:r>
          </w:p>
        </w:tc>
        <w:tc>
          <w:tcPr>
            <w:tcW w:type="dxa" w:w="28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vAlign w:val="center"/>
          </w:tcPr>
          <w:p>
            <w:r>
              <w:rPr>
                <w:rFonts w:ascii="Arial" w:cs="Arial" w:eastAsia="Arial" w:hAnsi="Arial"/>
                <w:b/>
                <w:bCs/>
                <w:color w:val="FFFFFF"/>
                <w:sz w:val="20"/>
                <w:szCs w:val="20"/>
              </w:rPr>
              <w:t xml:space="preserve">Global Pool</w:t>
            </w:r>
          </w:p>
        </w:tc>
        <w:tc>
          <w:tcPr>
            <w:tcW w:type="dxa" w:w="34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vAlign w:val="center"/>
          </w:tcPr>
          <w:p>
            <w:r>
              <w:rPr>
                <w:rFonts w:ascii="Arial" w:cs="Arial" w:eastAsia="Arial" w:hAnsi="Arial"/>
                <w:b/>
                <w:bCs/>
                <w:color w:val="FFFFFF"/>
                <w:sz w:val="20"/>
                <w:szCs w:val="20"/>
              </w:rPr>
              <w:t xml:space="preserve">Driver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Landscape architects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~1,000,000 globally (IFLA)</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Green infrastructure design</w:t>
            </w:r>
          </w:p>
        </w:tc>
      </w:tr>
      <w:tr>
        <w:tc>
          <w:tcPr>
            <w:tcW w:type="dxa" w:w="28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Green building professionals</w:t>
            </w:r>
          </w:p>
        </w:tc>
        <w:tc>
          <w:tcPr>
            <w:tcW w:type="dxa" w:w="28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205,000+ LEED-accredited (186 countries)</w:t>
            </w:r>
          </w:p>
        </w:tc>
        <w:tc>
          <w:tcPr>
            <w:tcW w:type="dxa" w:w="34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Greenery credits in certification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Urban planners &amp; city agencies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Millions globally</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Urban heat, biodiversity policy</w:t>
            </w:r>
          </w:p>
        </w:tc>
      </w:tr>
      <w:tr>
        <w:tc>
          <w:tcPr>
            <w:tcW w:type="dxa" w:w="28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Academic researchers</w:t>
            </w:r>
          </w:p>
        </w:tc>
        <w:tc>
          <w:tcPr>
            <w:tcW w:type="dxa" w:w="28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~50,000 in relevant fields</w:t>
            </w:r>
          </w:p>
        </w:tc>
        <w:tc>
          <w:tcPr>
            <w:tcW w:type="dxa" w:w="34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Urban ecology, plant science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Green building rating bodies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100+ systems globally</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LAI as standard reference data</w:t>
            </w:r>
          </w:p>
        </w:tc>
      </w:tr>
    </w:tbl>
    <w:p>
      <w:pPr>
        <w:spacing w:after="0" w:before="80"/>
      </w:pPr>
      <w:r>
        <w:t xml:space="preserve"/>
      </w:r>
    </w:p>
    <w:p>
      <w:pPr>
        <w:spacing w:after="80" w:before="80"/>
      </w:pPr>
      <w:r>
        <w:rPr>
          <w:rFonts w:ascii="Arial" w:cs="Arial" w:eastAsia="Arial" w:hAnsi="Arial"/>
          <w:color w:val="404040"/>
          <w:sz w:val="22"/>
          <w:szCs w:val="22"/>
        </w:rPr>
        <w:t xml:space="preserve">The landscape architecture services market alone was valued at USD $10.2 billion in 2024, projected to reach $18.3 billion by 2033. GPR and LAI data are directly embedded in practice workflows across this sector.</w:t>
      </w:r>
    </w:p>
    <w:p>
      <w:pPr>
        <w:spacing w:after="0" w:before="240"/>
      </w:pPr>
      <w:r>
        <w:t xml:space="preserve"/>
      </w:r>
    </w:p>
    <w:p>
      <w:pPr>
        <w:pStyle w:val="Heading1"/>
        <w:pBdr>
          <w:bottom w:val="single" w:color="2E75B6" w:sz="6" w:space="6"/>
        </w:pBdr>
        <w:spacing w:after="120" w:before="360"/>
      </w:pPr>
      <w:r>
        <w:rPr>
          <w:rFonts w:ascii="Arial" w:cs="Arial" w:eastAsia="Arial" w:hAnsi="Arial"/>
          <w:b/>
          <w:bCs/>
          <w:color w:val="1F5C99"/>
          <w:sz w:val="28"/>
          <w:szCs w:val="28"/>
        </w:rPr>
        <w:t xml:space="preserve">3. Proposed Institute Structure</w:t>
      </w:r>
    </w:p>
    <w:p>
      <w:pPr>
        <w:pStyle w:val="Heading2"/>
        <w:spacing w:after="80" w:before="240"/>
      </w:pPr>
      <w:r>
        <w:rPr>
          <w:rFonts w:ascii="Arial" w:cs="Arial" w:eastAsia="Arial" w:hAnsi="Arial"/>
          <w:b/>
          <w:bCs/>
          <w:color w:val="2E75B6"/>
          <w:sz w:val="24"/>
          <w:szCs w:val="24"/>
        </w:rPr>
        <w:t xml:space="preserve">3.1 Legal and Governance Model</w:t>
      </w:r>
    </w:p>
    <w:p>
      <w:pPr>
        <w:spacing w:after="80" w:before="80"/>
      </w:pPr>
      <w:r>
        <w:rPr>
          <w:rFonts w:ascii="Arial" w:cs="Arial" w:eastAsia="Arial" w:hAnsi="Arial"/>
          <w:color w:val="404040"/>
          <w:sz w:val="22"/>
          <w:szCs w:val="22"/>
        </w:rPr>
        <w:t xml:space="preserve">GPRI is proposed as a Curtin Research Centre — a formally affiliated institute operating under Curtin's institutional umbrella with its own revenue base. This is a well-established model within the Australian university sector.</w:t>
      </w:r>
    </w:p>
    <w:p>
      <w:pPr>
        <w:spacing w:after="0" w:before="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vAlign w:val="center"/>
          </w:tcPr>
          <w:p>
            <w:r>
              <w:rPr>
                <w:rFonts w:ascii="Arial" w:cs="Arial" w:eastAsia="Arial" w:hAnsi="Arial"/>
                <w:b/>
                <w:bCs/>
                <w:color w:val="FFFFFF"/>
                <w:sz w:val="20"/>
                <w:szCs w:val="20"/>
              </w:rPr>
              <w:t xml:space="preserve">Element</w:t>
            </w:r>
          </w:p>
        </w:tc>
        <w:tc>
          <w:tcPr>
            <w:tcW w:type="dxa" w:w="58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Structure</w:t>
            </w:r>
          </w:p>
        </w:tc>
        <w:tc>
          <w:tcPr>
            <w:tcW w:type="dxa" w:w="5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Curtin-affiliated Research Centre (self-funding)</w:t>
            </w:r>
          </w:p>
        </w:tc>
      </w:tr>
      <w:tr>
        <w:tc>
          <w:tcPr>
            <w:tcW w:type="dxa" w:w="32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Director</w:t>
            </w:r>
          </w:p>
        </w:tc>
        <w:tc>
          <w:tcPr>
            <w:tcW w:type="dxa" w:w="58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Dr Boon Lay Ong (Founder)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Governance</w:t>
            </w:r>
          </w:p>
        </w:tc>
        <w:tc>
          <w:tcPr>
            <w:tcW w:type="dxa" w:w="5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Scientific Advisory Board (3–5 international members)</w:t>
            </w:r>
          </w:p>
        </w:tc>
      </w:tr>
      <w:tr>
        <w:tc>
          <w:tcPr>
            <w:tcW w:type="dxa" w:w="32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IP ownership</w:t>
            </w:r>
          </w:p>
        </w:tc>
        <w:tc>
          <w:tcPr>
            <w:tcW w:type="dxa" w:w="58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To be determined through Curtin IP assessment process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Revenue model</w:t>
            </w:r>
          </w:p>
        </w:tc>
        <w:tc>
          <w:tcPr>
            <w:tcW w:type="dxa" w:w="5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SaaS subscriptions, database licences, certification, consulting</w:t>
            </w:r>
          </w:p>
        </w:tc>
      </w:tr>
      <w:tr>
        <w:tc>
          <w:tcPr>
            <w:tcW w:type="dxa" w:w="32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Curtin cost</w:t>
            </w:r>
          </w:p>
        </w:tc>
        <w:tc>
          <w:tcPr>
            <w:tcW w:type="dxa" w:w="58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Nil — institute is fully self-funding from Year 1 revenue</w:t>
            </w:r>
          </w:p>
        </w:tc>
      </w:tr>
    </w:tbl>
    <w:p>
      <w:pPr>
        <w:spacing w:after="0" w:before="120"/>
      </w:pPr>
      <w:r>
        <w:t xml:space="preserve"/>
      </w:r>
    </w:p>
    <w:p>
      <w:pPr>
        <w:pStyle w:val="Heading2"/>
        <w:spacing w:after="80" w:before="240"/>
      </w:pPr>
      <w:r>
        <w:rPr>
          <w:rFonts w:ascii="Arial" w:cs="Arial" w:eastAsia="Arial" w:hAnsi="Arial"/>
          <w:b/>
          <w:bCs/>
          <w:color w:val="2E75B6"/>
          <w:sz w:val="24"/>
          <w:szCs w:val="24"/>
        </w:rPr>
        <w:t xml:space="preserve">3.2 What Curtin Provides</w:t>
      </w:r>
    </w:p>
    <w:p>
      <w:pPr>
        <w:pStyle w:val="ListParagraph"/>
        <w:numPr>
          <w:ilvl w:val="0"/>
          <w:numId w:val="2"/>
        </w:numPr>
        <w:spacing w:after="60" w:before="60"/>
      </w:pPr>
      <w:r>
        <w:rPr>
          <w:rFonts w:ascii="Arial" w:cs="Arial" w:eastAsia="Arial" w:hAnsi="Arial"/>
          <w:b w:val="false"/>
          <w:bCs w:val="false"/>
          <w:color w:val="404040"/>
          <w:sz w:val="22"/>
          <w:szCs w:val="22"/>
        </w:rPr>
        <w:t xml:space="preserve">Formal institutional affiliation — 'A Curtin University Research Centre'</w:t>
      </w:r>
    </w:p>
    <w:p>
      <w:pPr>
        <w:pStyle w:val="ListParagraph"/>
        <w:numPr>
          <w:ilvl w:val="0"/>
          <w:numId w:val="2"/>
        </w:numPr>
        <w:spacing w:after="60" w:before="60"/>
      </w:pPr>
      <w:r>
        <w:rPr>
          <w:rFonts w:ascii="Arial" w:cs="Arial" w:eastAsia="Arial" w:hAnsi="Arial"/>
          <w:b w:val="false"/>
          <w:bCs w:val="false"/>
          <w:color w:val="404040"/>
          <w:sz w:val="22"/>
          <w:szCs w:val="22"/>
        </w:rPr>
        <w:t xml:space="preserve">Use of Curtin name and branding in academic and commercial contexts</w:t>
      </w:r>
    </w:p>
    <w:p>
      <w:pPr>
        <w:pStyle w:val="ListParagraph"/>
        <w:numPr>
          <w:ilvl w:val="0"/>
          <w:numId w:val="2"/>
        </w:numPr>
        <w:spacing w:after="60" w:before="60"/>
      </w:pPr>
      <w:r>
        <w:rPr>
          <w:rFonts w:ascii="Arial" w:cs="Arial" w:eastAsia="Arial" w:hAnsi="Arial"/>
          <w:b w:val="false"/>
          <w:bCs w:val="false"/>
          <w:color w:val="404040"/>
          <w:sz w:val="22"/>
          <w:szCs w:val="22"/>
        </w:rPr>
        <w:t xml:space="preserve">Access to Curtin research infrastructure (library, ethics, legal, HR)</w:t>
      </w:r>
    </w:p>
    <w:p>
      <w:pPr>
        <w:pStyle w:val="ListParagraph"/>
        <w:numPr>
          <w:ilvl w:val="0"/>
          <w:numId w:val="2"/>
        </w:numPr>
        <w:spacing w:after="60" w:before="60"/>
      </w:pPr>
      <w:r>
        <w:rPr>
          <w:rFonts w:ascii="Arial" w:cs="Arial" w:eastAsia="Arial" w:hAnsi="Arial"/>
          <w:b w:val="false"/>
          <w:bCs w:val="false"/>
          <w:color w:val="404040"/>
          <w:sz w:val="22"/>
          <w:szCs w:val="22"/>
        </w:rPr>
        <w:t xml:space="preserve">Continued employment of the Director as Senior Lecturer + Institute Director</w:t>
      </w:r>
    </w:p>
    <w:p>
      <w:pPr>
        <w:pStyle w:val="ListParagraph"/>
        <w:numPr>
          <w:ilvl w:val="0"/>
          <w:numId w:val="2"/>
        </w:numPr>
        <w:spacing w:after="60" w:before="60"/>
      </w:pPr>
      <w:r>
        <w:rPr>
          <w:rFonts w:ascii="Arial" w:cs="Arial" w:eastAsia="Arial" w:hAnsi="Arial"/>
          <w:b w:val="false"/>
          <w:bCs w:val="false"/>
          <w:color w:val="404040"/>
          <w:sz w:val="22"/>
          <w:szCs w:val="22"/>
        </w:rPr>
        <w:t xml:space="preserve">IP assessment and formal assignment or licensing arrangement</w:t>
      </w:r>
    </w:p>
    <w:p>
      <w:pPr>
        <w:spacing w:after="0" w:before="120"/>
      </w:pPr>
      <w:r>
        <w:t xml:space="preserve"/>
      </w:r>
    </w:p>
    <w:p>
      <w:pPr>
        <w:pStyle w:val="Heading2"/>
        <w:spacing w:after="80" w:before="240"/>
      </w:pPr>
      <w:r>
        <w:rPr>
          <w:rFonts w:ascii="Arial" w:cs="Arial" w:eastAsia="Arial" w:hAnsi="Arial"/>
          <w:b/>
          <w:bCs/>
          <w:color w:val="2E75B6"/>
          <w:sz w:val="24"/>
          <w:szCs w:val="24"/>
        </w:rPr>
        <w:t xml:space="preserve">3.3 What Curtin Receives</w:t>
      </w:r>
    </w:p>
    <w:p>
      <w:pPr>
        <w:pStyle w:val="ListParagraph"/>
        <w:numPr>
          <w:ilvl w:val="0"/>
          <w:numId w:val="2"/>
        </w:numPr>
        <w:spacing w:after="60" w:before="60"/>
      </w:pPr>
      <w:r>
        <w:rPr>
          <w:rFonts w:ascii="Arial" w:cs="Arial" w:eastAsia="Arial" w:hAnsi="Arial"/>
          <w:b w:val="false"/>
          <w:bCs w:val="false"/>
          <w:color w:val="404040"/>
          <w:sz w:val="22"/>
          <w:szCs w:val="22"/>
        </w:rPr>
        <w:t xml:space="preserve">Reputational association with a world-first scientific database and internationally cited metric</w:t>
      </w:r>
    </w:p>
    <w:p>
      <w:pPr>
        <w:pStyle w:val="ListParagraph"/>
        <w:numPr>
          <w:ilvl w:val="0"/>
          <w:numId w:val="2"/>
        </w:numPr>
        <w:spacing w:after="60" w:before="60"/>
      </w:pPr>
      <w:r>
        <w:rPr>
          <w:rFonts w:ascii="Arial" w:cs="Arial" w:eastAsia="Arial" w:hAnsi="Arial"/>
          <w:b w:val="false"/>
          <w:bCs w:val="false"/>
          <w:color w:val="404040"/>
          <w:sz w:val="22"/>
          <w:szCs w:val="22"/>
        </w:rPr>
        <w:t xml:space="preserve">Research output: peer-reviewed publications in Nature Portfolio and equivalent journals</w:t>
      </w:r>
    </w:p>
    <w:p>
      <w:pPr>
        <w:pStyle w:val="ListParagraph"/>
        <w:numPr>
          <w:ilvl w:val="0"/>
          <w:numId w:val="2"/>
        </w:numPr>
        <w:spacing w:after="60" w:before="60"/>
      </w:pPr>
      <w:r>
        <w:rPr>
          <w:rFonts w:ascii="Arial" w:cs="Arial" w:eastAsia="Arial" w:hAnsi="Arial"/>
          <w:b w:val="false"/>
          <w:bCs w:val="false"/>
          <w:color w:val="404040"/>
          <w:sz w:val="22"/>
          <w:szCs w:val="22"/>
        </w:rPr>
        <w:t xml:space="preserve">Revenue share from GPRI commercial activities (proposed: 10–15% of net revenue)</w:t>
      </w:r>
    </w:p>
    <w:p>
      <w:pPr>
        <w:pStyle w:val="ListParagraph"/>
        <w:numPr>
          <w:ilvl w:val="0"/>
          <w:numId w:val="2"/>
        </w:numPr>
        <w:spacing w:after="60" w:before="60"/>
      </w:pPr>
      <w:r>
        <w:rPr>
          <w:rFonts w:ascii="Arial" w:cs="Arial" w:eastAsia="Arial" w:hAnsi="Arial"/>
          <w:b w:val="false"/>
          <w:bCs w:val="false"/>
          <w:color w:val="404040"/>
          <w:sz w:val="22"/>
          <w:szCs w:val="22"/>
        </w:rPr>
        <w:t xml:space="preserve">Citation growth — GPRI publications will carry Curtin affiliation</w:t>
      </w:r>
    </w:p>
    <w:p>
      <w:pPr>
        <w:pStyle w:val="ListParagraph"/>
        <w:numPr>
          <w:ilvl w:val="0"/>
          <w:numId w:val="2"/>
        </w:numPr>
        <w:spacing w:after="60" w:before="60"/>
      </w:pPr>
      <w:r>
        <w:rPr>
          <w:rFonts w:ascii="Arial" w:cs="Arial" w:eastAsia="Arial" w:hAnsi="Arial"/>
          <w:b w:val="false"/>
          <w:bCs w:val="false"/>
          <w:color w:val="404040"/>
          <w:sz w:val="22"/>
          <w:szCs w:val="22"/>
        </w:rPr>
        <w:t xml:space="preserve">International profile in urban ecology, green infrastructure, and sustainable cities</w:t>
      </w:r>
    </w:p>
    <w:p>
      <w:pPr>
        <w:pStyle w:val="ListParagraph"/>
        <w:numPr>
          <w:ilvl w:val="0"/>
          <w:numId w:val="2"/>
        </w:numPr>
        <w:spacing w:after="60" w:before="60"/>
      </w:pPr>
      <w:r>
        <w:rPr>
          <w:rFonts w:ascii="Arial" w:cs="Arial" w:eastAsia="Arial" w:hAnsi="Arial"/>
          <w:b w:val="false"/>
          <w:bCs w:val="false"/>
          <w:color w:val="404040"/>
          <w:sz w:val="22"/>
          <w:szCs w:val="22"/>
        </w:rPr>
        <w:t xml:space="preserve">A self-funding institute at zero cost to the university</w:t>
      </w:r>
    </w:p>
    <w:p>
      <w:pPr>
        <w:spacing w:after="0" w:before="240"/>
      </w:pPr>
      <w:r>
        <w:t xml:space="preserve"/>
      </w:r>
    </w:p>
    <w:p>
      <w:pPr>
        <w:pStyle w:val="Heading1"/>
        <w:pBdr>
          <w:bottom w:val="single" w:color="2E75B6" w:sz="6" w:space="6"/>
        </w:pBdr>
        <w:spacing w:after="120" w:before="360"/>
      </w:pPr>
      <w:r>
        <w:rPr>
          <w:rFonts w:ascii="Arial" w:cs="Arial" w:eastAsia="Arial" w:hAnsi="Arial"/>
          <w:b/>
          <w:bCs/>
          <w:color w:val="1F5C99"/>
          <w:sz w:val="28"/>
          <w:szCs w:val="28"/>
        </w:rPr>
        <w:t xml:space="preserve">4. Financial Projections</w:t>
      </w:r>
    </w:p>
    <w:p>
      <w:pPr>
        <w:spacing w:after="80" w:before="80"/>
      </w:pPr>
      <w:r>
        <w:rPr>
          <w:rFonts w:ascii="Arial" w:cs="Arial" w:eastAsia="Arial" w:hAnsi="Arial"/>
          <w:color w:val="404040"/>
          <w:sz w:val="22"/>
          <w:szCs w:val="22"/>
        </w:rPr>
        <w:t xml:space="preserve">The following projections are conservative estimates based on comparable scientific database and SaaS products, and current market size data. They are indicative only and subject to formal business case development.</w:t>
      </w:r>
    </w:p>
    <w:p>
      <w:pPr>
        <w:spacing w:after="0" w:before="120"/>
      </w:pPr>
      <w: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3200"/>
        <w:gridCol w:w="1700"/>
        <w:gridCol w:w="1700"/>
        <w:gridCol w:w="2360"/>
      </w:tblGrid>
      <w:tr>
        <w:tc>
          <w:tcPr>
            <w:tcW w:type="dxa" w:w="32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vAlign w:val="center"/>
          </w:tcPr>
          <w:p>
            <w:r>
              <w:rPr>
                <w:rFonts w:ascii="Arial" w:cs="Arial" w:eastAsia="Arial" w:hAnsi="Arial"/>
                <w:b/>
                <w:bCs/>
                <w:color w:val="FFFFFF"/>
                <w:sz w:val="20"/>
                <w:szCs w:val="20"/>
              </w:rPr>
              <w:t xml:space="preserve">Revenue Stream</w:t>
            </w:r>
          </w:p>
        </w:tc>
        <w:tc>
          <w:tcPr>
            <w:tcW w:type="dxa" w:w="17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vAlign w:val="center"/>
          </w:tcPr>
          <w:p>
            <w:r>
              <w:rPr>
                <w:rFonts w:ascii="Arial" w:cs="Arial" w:eastAsia="Arial" w:hAnsi="Arial"/>
                <w:b/>
                <w:bCs/>
                <w:color w:val="FFFFFF"/>
                <w:sz w:val="20"/>
                <w:szCs w:val="20"/>
              </w:rPr>
              <w:t xml:space="preserve">Year 1</w:t>
            </w:r>
          </w:p>
        </w:tc>
        <w:tc>
          <w:tcPr>
            <w:tcW w:type="dxa" w:w="17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vAlign w:val="center"/>
          </w:tcPr>
          <w:p>
            <w:r>
              <w:rPr>
                <w:rFonts w:ascii="Arial" w:cs="Arial" w:eastAsia="Arial" w:hAnsi="Arial"/>
                <w:b/>
                <w:bCs/>
                <w:color w:val="FFFFFF"/>
                <w:sz w:val="20"/>
                <w:szCs w:val="20"/>
              </w:rPr>
              <w:t xml:space="preserve">Year 3</w:t>
            </w:r>
          </w:p>
        </w:tc>
        <w:tc>
          <w:tcPr>
            <w:tcW w:type="dxa" w:w="236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vAlign w:val="center"/>
          </w:tcPr>
          <w:p>
            <w:r>
              <w:rPr>
                <w:rFonts w:ascii="Arial" w:cs="Arial" w:eastAsia="Arial" w:hAnsi="Arial"/>
                <w:b/>
                <w:bCs/>
                <w:color w:val="FFFFFF"/>
                <w:sz w:val="20"/>
                <w:szCs w:val="20"/>
              </w:rPr>
              <w:t xml:space="preserve">Year 5</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Database subscriptions (universities)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$15,000</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$80,000</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$250,000</w:t>
            </w:r>
          </w:p>
        </w:tc>
      </w:tr>
      <w:tr>
        <w:tc>
          <w:tcPr>
            <w:tcW w:type="dxa" w:w="32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Database licences (practitioners/firms)</w:t>
            </w:r>
          </w:p>
        </w:tc>
        <w:tc>
          <w:tcPr>
            <w:tcW w:type="dxa" w:w="17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$20,000</w:t>
            </w:r>
          </w:p>
        </w:tc>
        <w:tc>
          <w:tcPr>
            <w:tcW w:type="dxa" w:w="17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$150,000</w:t>
            </w:r>
          </w:p>
        </w:tc>
        <w:tc>
          <w:tcPr>
            <w:tcW w:type="dxa" w:w="23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$500,000</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GPRTool SaaS subscriptions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$30,000</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$120,000</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$400,000</w:t>
            </w:r>
          </w:p>
        </w:tc>
      </w:tr>
      <w:tr>
        <w:tc>
          <w:tcPr>
            <w:tcW w:type="dxa" w:w="32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GPR Certification fees</w:t>
            </w:r>
          </w:p>
        </w:tc>
        <w:tc>
          <w:tcPr>
            <w:tcW w:type="dxa" w:w="17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$10,000</w:t>
            </w:r>
          </w:p>
        </w:tc>
        <w:tc>
          <w:tcPr>
            <w:tcW w:type="dxa" w:w="17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$60,000</w:t>
            </w:r>
          </w:p>
        </w:tc>
        <w:tc>
          <w:tcPr>
            <w:tcW w:type="dxa" w:w="23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$200,000</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Research &amp; Advisory consulting</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$25,000</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$80,000</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$150,000</w:t>
            </w:r>
          </w:p>
        </w:tc>
      </w:tr>
      <w:tr>
        <w:tc>
          <w:tcPr>
            <w:tcW w:type="dxa" w:w="32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Total Revenue (est.)</w:t>
            </w:r>
          </w:p>
        </w:tc>
        <w:tc>
          <w:tcPr>
            <w:tcW w:type="dxa" w:w="17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$100,000</w:t>
            </w:r>
          </w:p>
        </w:tc>
        <w:tc>
          <w:tcPr>
            <w:tcW w:type="dxa" w:w="17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$490,000</w:t>
            </w:r>
          </w:p>
        </w:tc>
        <w:tc>
          <w:tcPr>
            <w:tcW w:type="dxa" w:w="23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$1,500,000</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Curtin revenue share (12.5%)</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$12,500</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$61,250</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$187,500</w:t>
            </w:r>
          </w:p>
        </w:tc>
      </w:tr>
    </w:tbl>
    <w:p>
      <w:pPr>
        <w:spacing w:after="0" w:before="80"/>
      </w:pPr>
      <w:r>
        <w:t xml:space="preserve"/>
      </w:r>
    </w:p>
    <w:p>
      <w:pPr>
        <w:spacing w:after="80" w:before="80"/>
      </w:pPr>
      <w:r>
        <w:rPr>
          <w:rFonts w:ascii="Arial" w:cs="Arial" w:eastAsia="Arial" w:hAnsi="Arial"/>
          <w:color w:val="404040"/>
          <w:sz w:val="22"/>
          <w:szCs w:val="22"/>
        </w:rPr>
        <w:t xml:space="preserve">Director salary is drawn from institute revenue, removing the cost from Curtin's budget from the point of commercial viability. In Year 1, the Director continues under existing Curtin employment terms whilst GPRI reaches operational revenue.</w:t>
      </w:r>
    </w:p>
    <w:p>
      <w:pPr>
        <w:spacing w:after="0" w:before="240"/>
      </w:pPr>
      <w:r>
        <w:t xml:space="preserve"/>
      </w:r>
    </w:p>
    <w:p>
      <w:pPr>
        <w:pStyle w:val="Heading1"/>
        <w:pBdr>
          <w:bottom w:val="single" w:color="2E75B6" w:sz="6" w:space="6"/>
        </w:pBdr>
        <w:spacing w:after="120" w:before="360"/>
      </w:pPr>
      <w:r>
        <w:rPr>
          <w:rFonts w:ascii="Arial" w:cs="Arial" w:eastAsia="Arial" w:hAnsi="Arial"/>
          <w:b/>
          <w:bCs/>
          <w:color w:val="1F5C99"/>
          <w:sz w:val="28"/>
          <w:szCs w:val="28"/>
        </w:rPr>
        <w:t xml:space="preserve">5. Scientific Legitimacy and Publication Pipeline</w:t>
      </w:r>
    </w:p>
    <w:p>
      <w:pPr>
        <w:spacing w:after="80" w:before="80"/>
      </w:pPr>
      <w:r>
        <w:rPr>
          <w:rFonts w:ascii="Arial" w:cs="Arial" w:eastAsia="Arial" w:hAnsi="Arial"/>
          <w:color w:val="404040"/>
          <w:sz w:val="22"/>
          <w:szCs w:val="22"/>
        </w:rPr>
        <w:t xml:space="preserve">GPRI's commercial value is grounded in peer-reviewed scientific rigour. The following publication pipeline is planned:</w:t>
      </w:r>
    </w:p>
    <w:p>
      <w:pPr>
        <w:spacing w:after="0" w:before="80"/>
      </w:pPr>
      <w: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3400"/>
        <w:gridCol w:w="2800"/>
        <w:gridCol w:w="2760"/>
      </w:tblGrid>
      <w:tr>
        <w:tc>
          <w:tcPr>
            <w:tcW w:type="dxa" w:w="34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vAlign w:val="center"/>
          </w:tcPr>
          <w:p>
            <w:r>
              <w:rPr>
                <w:rFonts w:ascii="Arial" w:cs="Arial" w:eastAsia="Arial" w:hAnsi="Arial"/>
                <w:b/>
                <w:bCs/>
                <w:color w:val="FFFFFF"/>
                <w:sz w:val="20"/>
                <w:szCs w:val="20"/>
              </w:rPr>
              <w:t xml:space="preserve">Output</w:t>
            </w:r>
          </w:p>
        </w:tc>
        <w:tc>
          <w:tcPr>
            <w:tcW w:type="dxa" w:w="28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 Journal</w:t>
            </w:r>
          </w:p>
        </w:tc>
        <w:tc>
          <w:tcPr>
            <w:tcW w:type="dxa" w:w="276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vAlign w:val="center"/>
          </w:tcPr>
          <w:p>
            <w:r>
              <w:rPr>
                <w:rFonts w:ascii="Arial" w:cs="Arial" w:eastAsia="Arial" w:hAnsi="Arial"/>
                <w:b/>
                <w:bCs/>
                <w:color w:val="FFFFFF"/>
                <w:sz w:val="20"/>
                <w:szCs w:val="20"/>
              </w:rPr>
              <w:t xml:space="preserve">Timeline</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LAI measurement protocol paper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Data in Brief / MethodsX</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6 months</w:t>
            </w:r>
          </w:p>
        </w:tc>
      </w:tr>
      <w:tr>
        <w:tc>
          <w:tcPr>
            <w:tcW w:type="dxa" w:w="34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GPRI Global Plant Database descriptor</w:t>
            </w:r>
          </w:p>
        </w:tc>
        <w:tc>
          <w:tcPr>
            <w:tcW w:type="dxa" w:w="28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Scientific Data (Nature Portfolio)</w:t>
            </w:r>
          </w:p>
        </w:tc>
        <w:tc>
          <w:tcPr>
            <w:tcW w:type="dxa" w:w="27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12 months</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Urban GPR application case study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Landscape and Urban Planning</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18 months</w:t>
            </w:r>
          </w:p>
        </w:tc>
      </w:tr>
      <w:tr>
        <w:tc>
          <w:tcPr>
            <w:tcW w:type="dxa" w:w="34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GPR standard methodology paper</w:t>
            </w:r>
          </w:p>
        </w:tc>
        <w:tc>
          <w:tcPr>
            <w:tcW w:type="dxa" w:w="28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Urban Forestry &amp; Urban Greening</w:t>
            </w:r>
          </w:p>
        </w:tc>
        <w:tc>
          <w:tcPr>
            <w:tcW w:type="dxa" w:w="27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24 months</w:t>
            </w:r>
          </w:p>
        </w:tc>
      </w:tr>
    </w:tbl>
    <w:p>
      <w:pPr>
        <w:spacing w:after="0" w:before="80"/>
      </w:pPr>
      <w:r>
        <w:t xml:space="preserve"/>
      </w:r>
    </w:p>
    <w:p>
      <w:pPr>
        <w:spacing w:after="80" w:before="80"/>
      </w:pPr>
      <w:r>
        <w:rPr>
          <w:rFonts w:ascii="Arial" w:cs="Arial" w:eastAsia="Arial" w:hAnsi="Arial"/>
          <w:color w:val="404040"/>
          <w:sz w:val="22"/>
          <w:szCs w:val="22"/>
        </w:rPr>
        <w:t xml:space="preserve">Publication in Scientific Data (Nature Portfolio) confers a peer-reviewed DOI on the database itself, making it a citable primary scientific resource. This is the single most significant legitimising step for commercial use of the database.</w:t>
      </w:r>
    </w:p>
    <w:p>
      <w:pPr>
        <w:spacing w:after="0" w:before="240"/>
      </w:pPr>
      <w:r>
        <w:t xml:space="preserve"/>
      </w:r>
    </w:p>
    <w:p>
      <w:pPr>
        <w:pStyle w:val="Heading1"/>
        <w:pBdr>
          <w:bottom w:val="single" w:color="2E75B6" w:sz="6" w:space="6"/>
        </w:pBdr>
        <w:spacing w:after="120" w:before="360"/>
      </w:pPr>
      <w:r>
        <w:rPr>
          <w:rFonts w:ascii="Arial" w:cs="Arial" w:eastAsia="Arial" w:hAnsi="Arial"/>
          <w:b/>
          <w:bCs/>
          <w:color w:val="1F5C99"/>
          <w:sz w:val="28"/>
          <w:szCs w:val="28"/>
        </w:rPr>
        <w:t xml:space="preserve">6. IP and Risk Considerations</w:t>
      </w:r>
    </w:p>
    <w:p>
      <w:pPr>
        <w:pStyle w:val="Heading2"/>
        <w:spacing w:after="80" w:before="240"/>
      </w:pPr>
      <w:r>
        <w:rPr>
          <w:rFonts w:ascii="Arial" w:cs="Arial" w:eastAsia="Arial" w:hAnsi="Arial"/>
          <w:b/>
          <w:bCs/>
          <w:color w:val="2E75B6"/>
          <w:sz w:val="24"/>
          <w:szCs w:val="24"/>
        </w:rPr>
        <w:t xml:space="preserve">6.1 Intellectual Property</w:t>
      </w:r>
    </w:p>
    <w:p>
      <w:pPr>
        <w:spacing w:after="80" w:before="80"/>
      </w:pPr>
      <w:r>
        <w:rPr>
          <w:rFonts w:ascii="Arial" w:cs="Arial" w:eastAsia="Arial" w:hAnsi="Arial"/>
          <w:color w:val="404040"/>
          <w:sz w:val="22"/>
          <w:szCs w:val="22"/>
        </w:rPr>
        <w:t xml:space="preserve">The proposer requests that Curtin's IP assessment process formally determine ownership and licensing arrangements for the GPRI Global Plant Database and associated tools. The proposer's position is that the database was developed independently, and a clear IP assignment or exclusive licence to the proposer (or to GPRI as a Curtin-affiliated entity) is a prerequisite for the commercialisation pathway proposed here.</w:t>
      </w:r>
    </w:p>
    <w:p>
      <w:pPr>
        <w:spacing w:after="0" w:before="80"/>
      </w:pPr>
      <w:r>
        <w:t xml:space="preserve"/>
      </w:r>
    </w:p>
    <w:p>
      <w:pPr>
        <w:spacing w:after="80" w:before="80"/>
      </w:pPr>
      <w:r>
        <w:rPr>
          <w:rFonts w:ascii="Arial" w:cs="Arial" w:eastAsia="Arial" w:hAnsi="Arial"/>
          <w:color w:val="404040"/>
          <w:sz w:val="22"/>
          <w:szCs w:val="22"/>
        </w:rPr>
        <w:t xml:space="preserve">A Contributor Licence Agreement (CLA) framework is planned for all future data contributors, preserving commercial rights within GPRI whilst enabling open scientific contribution.</w:t>
      </w:r>
    </w:p>
    <w:p>
      <w:pPr>
        <w:spacing w:after="0" w:before="120"/>
      </w:pPr>
      <w:r>
        <w:t xml:space="preserve"/>
      </w:r>
    </w:p>
    <w:p>
      <w:pPr>
        <w:pStyle w:val="Heading2"/>
        <w:spacing w:after="80" w:before="240"/>
      </w:pPr>
      <w:r>
        <w:rPr>
          <w:rFonts w:ascii="Arial" w:cs="Arial" w:eastAsia="Arial" w:hAnsi="Arial"/>
          <w:b/>
          <w:bCs/>
          <w:color w:val="2E75B6"/>
          <w:sz w:val="24"/>
          <w:szCs w:val="24"/>
        </w:rPr>
        <w:t xml:space="preserve">6.2 Risk Summary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vAlign w:val="center"/>
          </w:tcPr>
          <w:p>
            <w:r>
              <w:rPr>
                <w:rFonts w:ascii="Arial" w:cs="Arial" w:eastAsia="Arial" w:hAnsi="Arial"/>
                <w:b/>
                <w:bCs/>
                <w:color w:val="FFFFFF"/>
                <w:sz w:val="20"/>
                <w:szCs w:val="20"/>
              </w:rPr>
              <w:t xml:space="preserve">Risk</w:t>
            </w:r>
          </w:p>
        </w:tc>
        <w:tc>
          <w:tcPr>
            <w:tcW w:type="dxa" w:w="58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vAlign w:val="center"/>
          </w:tcPr>
          <w:p>
            <w:r>
              <w:rPr>
                <w:rFonts w:ascii="Arial" w:cs="Arial" w:eastAsia="Arial" w:hAnsi="Arial"/>
                <w:b/>
                <w:bCs/>
                <w:color w:val="FFFFFF"/>
                <w:sz w:val="20"/>
                <w:szCs w:val="20"/>
              </w:rPr>
              <w:t xml:space="preserve">Mitigation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IP uncertainty</w:t>
            </w:r>
          </w:p>
        </w:tc>
        <w:tc>
          <w:tcPr>
            <w:tcW w:type="dxa" w:w="5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Formal Curtin IP assessment process — first step</w:t>
            </w:r>
          </w:p>
        </w:tc>
      </w:tr>
      <w:tr>
        <w:tc>
          <w:tcPr>
            <w:tcW w:type="dxa" w:w="32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Market adoption</w:t>
            </w:r>
          </w:p>
        </w:tc>
        <w:tc>
          <w:tcPr>
            <w:tcW w:type="dxa" w:w="58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Free tier drives discovery; paid tier monetises serious users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Scientific credibility</w:t>
            </w:r>
          </w:p>
        </w:tc>
        <w:tc>
          <w:tcPr>
            <w:tcW w:type="dxa" w:w="5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Scientific Data publication; SAB endorsement</w:t>
            </w:r>
          </w:p>
        </w:tc>
      </w:tr>
      <w:tr>
        <w:tc>
          <w:tcPr>
            <w:tcW w:type="dxa" w:w="32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Founder dependency</w:t>
            </w:r>
          </w:p>
        </w:tc>
        <w:tc>
          <w:tcPr>
            <w:tcW w:type="dxa" w:w="58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Governance structure; documented protocols; AI-assisted operations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Revenue shortfall in Year 1</w:t>
            </w:r>
          </w:p>
        </w:tc>
        <w:tc>
          <w:tcPr>
            <w:tcW w:type="dxa" w:w="5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Consulting retainers provide immediate cash flow whilst subscriptions build</w:t>
            </w:r>
          </w:p>
        </w:tc>
      </w:tr>
    </w:tbl>
    <w:p>
      <w:pPr>
        <w:spacing w:after="0" w:before="240"/>
      </w:pPr>
      <w:r>
        <w:t xml:space="preserve"/>
      </w:r>
    </w:p>
    <w:p>
      <w:pPr>
        <w:pStyle w:val="Heading1"/>
        <w:pBdr>
          <w:bottom w:val="single" w:color="2E75B6" w:sz="6" w:space="6"/>
        </w:pBdr>
        <w:spacing w:after="120" w:before="360"/>
      </w:pPr>
      <w:r>
        <w:rPr>
          <w:rFonts w:ascii="Arial" w:cs="Arial" w:eastAsia="Arial" w:hAnsi="Arial"/>
          <w:b/>
          <w:bCs/>
          <w:color w:val="1F5C99"/>
          <w:sz w:val="28"/>
          <w:szCs w:val="28"/>
        </w:rPr>
        <w:t xml:space="preserve">7. Proposal — Specific Request</w:t>
      </w:r>
    </w:p>
    <w:p>
      <w:pPr>
        <w:spacing w:after="80" w:before="80"/>
      </w:pPr>
      <w:r>
        <w:rPr>
          <w:rFonts w:ascii="Arial" w:cs="Arial" w:eastAsia="Arial" w:hAnsi="Arial"/>
          <w:color w:val="404040"/>
          <w:sz w:val="22"/>
          <w:szCs w:val="22"/>
        </w:rPr>
        <w:t xml:space="preserve">The proposer requests the following from Curtin University, via the Commercialisation Office:</w:t>
      </w:r>
    </w:p>
    <w:p>
      <w:pPr>
        <w:spacing w:after="0" w:before="80"/>
      </w:pPr>
      <w:r>
        <w:t xml:space="preserve"/>
      </w:r>
    </w:p>
    <w:p>
      <w:pPr>
        <w:pStyle w:val="ListParagraph"/>
        <w:numPr>
          <w:ilvl w:val="0"/>
          <w:numId w:val="2"/>
        </w:numPr>
        <w:spacing w:after="60" w:before="60"/>
      </w:pPr>
      <w:r>
        <w:rPr>
          <w:rFonts w:ascii="Arial" w:cs="Arial" w:eastAsia="Arial" w:hAnsi="Arial"/>
          <w:b/>
          <w:bCs/>
          <w:color w:val="404040"/>
          <w:sz w:val="22"/>
          <w:szCs w:val="22"/>
        </w:rPr>
        <w:t xml:space="preserve">Formal IP assessment of the GPRI Global Plant Database and GPRTool, with a view to IP assignment or exclusive licence to the proposer / GPRI entity</w:t>
      </w:r>
    </w:p>
    <w:p>
      <w:pPr>
        <w:pStyle w:val="ListParagraph"/>
        <w:numPr>
          <w:ilvl w:val="0"/>
          <w:numId w:val="2"/>
        </w:numPr>
        <w:spacing w:after="60" w:before="60"/>
      </w:pPr>
      <w:r>
        <w:rPr>
          <w:rFonts w:ascii="Arial" w:cs="Arial" w:eastAsia="Arial" w:hAnsi="Arial"/>
          <w:b/>
          <w:bCs/>
          <w:color w:val="404040"/>
          <w:sz w:val="22"/>
          <w:szCs w:val="22"/>
        </w:rPr>
        <w:t xml:space="preserve">In-principle endorsement to establish GPRI as a Curtin-affiliated Research Centre</w:t>
      </w:r>
    </w:p>
    <w:p>
      <w:pPr>
        <w:pStyle w:val="ListParagraph"/>
        <w:numPr>
          <w:ilvl w:val="0"/>
          <w:numId w:val="2"/>
        </w:numPr>
        <w:spacing w:after="60" w:before="60"/>
      </w:pPr>
      <w:r>
        <w:rPr>
          <w:rFonts w:ascii="Arial" w:cs="Arial" w:eastAsia="Arial" w:hAnsi="Arial"/>
          <w:b/>
          <w:bCs/>
          <w:color w:val="404040"/>
          <w:sz w:val="22"/>
          <w:szCs w:val="22"/>
        </w:rPr>
        <w:t xml:space="preserve">Continued employment of the proposer as Senior Lecturer + founding Director, GPRI, with salary transitioning to institute funding upon commercial viability</w:t>
      </w:r>
    </w:p>
    <w:p>
      <w:pPr>
        <w:pStyle w:val="ListParagraph"/>
        <w:numPr>
          <w:ilvl w:val="0"/>
          <w:numId w:val="2"/>
        </w:numPr>
        <w:spacing w:after="60" w:before="60"/>
      </w:pPr>
      <w:r>
        <w:rPr>
          <w:rFonts w:ascii="Arial" w:cs="Arial" w:eastAsia="Arial" w:hAnsi="Arial"/>
          <w:b/>
          <w:bCs/>
          <w:color w:val="404040"/>
          <w:sz w:val="22"/>
          <w:szCs w:val="22"/>
        </w:rPr>
        <w:t xml:space="preserve">Access to Curtin research infrastructure and branding rights as a formally affiliated centre</w:t>
      </w:r>
    </w:p>
    <w:p>
      <w:pPr>
        <w:spacing w:after="0" w:before="80"/>
      </w:pPr>
      <w:r>
        <w:t xml:space="preserve"/>
      </w:r>
    </w:p>
    <w:p>
      <w:pPr>
        <w:spacing w:after="80" w:before="80"/>
      </w:pPr>
      <w:r>
        <w:rPr>
          <w:rFonts w:ascii="Arial" w:cs="Arial" w:eastAsia="Arial" w:hAnsi="Arial"/>
          <w:color w:val="404040"/>
          <w:sz w:val="22"/>
          <w:szCs w:val="22"/>
        </w:rPr>
        <w:t xml:space="preserve">No capital investment is sought from Curtin. GPRI is designed to be self-funding from Year 1 revenue, with Curtin receiving a revenue share in return for institutional affiliation.</w:t>
      </w:r>
    </w:p>
    <w:p>
      <w:pPr>
        <w:spacing w:after="0" w:before="240"/>
      </w:pPr>
      <w:r>
        <w:t xml:space="preserve"/>
      </w:r>
    </w:p>
    <w:p>
      <w:pPr>
        <w:pStyle w:val="Heading1"/>
        <w:pBdr>
          <w:bottom w:val="single" w:color="2E75B6" w:sz="6" w:space="6"/>
        </w:pBdr>
        <w:spacing w:after="120" w:before="360"/>
      </w:pPr>
      <w:r>
        <w:rPr>
          <w:rFonts w:ascii="Arial" w:cs="Arial" w:eastAsia="Arial" w:hAnsi="Arial"/>
          <w:b/>
          <w:bCs/>
          <w:color w:val="1F5C99"/>
          <w:sz w:val="28"/>
          <w:szCs w:val="28"/>
        </w:rPr>
        <w:t xml:space="preserve">8. Proposed Next Steps</w:t>
      </w:r>
    </w:p>
    <w:tbl>
      <w:tblPr>
        <w:tblW w:type="dxa" w:w="79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2400"/>
        <w:gridCol w:w="2160"/>
      </w:tblGrid>
      <w:tr>
        <w:tc>
          <w:tcPr>
            <w:tcW w:type="dxa" w:w="6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vAlign w:val="center"/>
          </w:tcPr>
          <w:p>
            <w:r>
              <w:rPr>
                <w:rFonts w:ascii="Arial" w:cs="Arial" w:eastAsia="Arial" w:hAnsi="Arial"/>
                <w:b/>
                <w:bCs/>
                <w:color w:val="FFFFFF"/>
                <w:sz w:val="20"/>
                <w:szCs w:val="20"/>
              </w:rPr>
              <w:t xml:space="preserve">Step</w:t>
            </w:r>
          </w:p>
        </w:tc>
        <w:tc>
          <w:tcPr>
            <w:tcW w:type="dxa" w:w="28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vAlign w:val="center"/>
          </w:tcPr>
          <w:p>
            <w:r>
              <w:rPr>
                <w:rFonts w:ascii="Arial" w:cs="Arial" w:eastAsia="Arial" w:hAnsi="Arial"/>
                <w:b/>
                <w:bCs/>
                <w:color w:val="FFFFFF"/>
                <w:sz w:val="20"/>
                <w:szCs w:val="20"/>
              </w:rPr>
              <w:t xml:space="preserve">Action</w:t>
            </w:r>
          </w:p>
        </w:tc>
        <w:tc>
          <w:tcPr>
            <w:tcW w:type="dxa" w:w="24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vAlign w:val="center"/>
          </w:tcPr>
          <w:p>
            <w:r>
              <w:rPr>
                <w:rFonts w:ascii="Arial" w:cs="Arial" w:eastAsia="Arial" w:hAnsi="Arial"/>
                <w:b/>
                <w:bCs/>
                <w:color w:val="FFFFFF"/>
                <w:sz w:val="20"/>
                <w:szCs w:val="20"/>
              </w:rPr>
              <w:t xml:space="preserve">Owner</w:t>
            </w:r>
          </w:p>
        </w:tc>
        <w:tc>
          <w:tcPr>
            <w:tcW w:type="dxa" w:w="216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vAlign w:val="center"/>
          </w:tcPr>
          <w:p>
            <w:r>
              <w:rPr>
                <w:rFonts w:ascii="Arial" w:cs="Arial" w:eastAsia="Arial" w:hAnsi="Arial"/>
                <w:b/>
                <w:bCs/>
                <w:color w:val="FFFFFF"/>
                <w:sz w:val="20"/>
                <w:szCs w:val="20"/>
              </w:rPr>
              <w:t xml:space="preserve">Timeline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IP assessment initiated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Curtin Commercialisation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Month 1</w:t>
            </w:r>
          </w:p>
        </w:tc>
      </w:tr>
      <w:tr>
        <w:tc>
          <w:tcPr>
            <w:tcW w:type="dxa" w:w="6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2</w:t>
            </w:r>
          </w:p>
        </w:tc>
        <w:tc>
          <w:tcPr>
            <w:tcW w:type="dxa" w:w="28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Formal meeting: proposer + Commercialisation Office</w:t>
            </w:r>
          </w:p>
        </w:tc>
        <w:tc>
          <w:tcPr>
            <w:tcW w:type="dxa" w:w="24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Both</w:t>
            </w:r>
          </w:p>
        </w:tc>
        <w:tc>
          <w:tcPr>
            <w:tcW w:type="dxa" w:w="21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Month 1</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Research Centre application drafted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Proposer + Curtin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Month 2–3</w:t>
            </w:r>
          </w:p>
        </w:tc>
      </w:tr>
      <w:tr>
        <w:tc>
          <w:tcPr>
            <w:tcW w:type="dxa" w:w="6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4</w:t>
            </w:r>
          </w:p>
        </w:tc>
        <w:tc>
          <w:tcPr>
            <w:tcW w:type="dxa" w:w="28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Scientific Advisory Board recruitment</w:t>
            </w:r>
          </w:p>
        </w:tc>
        <w:tc>
          <w:tcPr>
            <w:tcW w:type="dxa" w:w="24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Proposer</w:t>
            </w:r>
          </w:p>
        </w:tc>
        <w:tc>
          <w:tcPr>
            <w:tcW w:type="dxa" w:w="21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Month 2–4</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Scientific Data manuscript submitted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Proposer</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Month 6</w:t>
            </w:r>
          </w:p>
        </w:tc>
      </w:tr>
      <w:tr>
        <w:tc>
          <w:tcPr>
            <w:tcW w:type="dxa" w:w="6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6</w:t>
            </w:r>
          </w:p>
        </w:tc>
        <w:tc>
          <w:tcPr>
            <w:tcW w:type="dxa" w:w="28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GPRI commercial operations commence</w:t>
            </w:r>
          </w:p>
        </w:tc>
        <w:tc>
          <w:tcPr>
            <w:tcW w:type="dxa" w:w="24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GPRI / Curtin</w:t>
            </w:r>
          </w:p>
        </w:tc>
        <w:tc>
          <w:tcPr>
            <w:tcW w:type="dxa" w:w="21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vAlign w:val="center"/>
          </w:tcPr>
          <w:p>
            <w:r>
              <w:rPr>
                <w:rFonts w:ascii="Arial" w:cs="Arial" w:eastAsia="Arial" w:hAnsi="Arial"/>
                <w:b w:val="false"/>
                <w:bCs w:val="false"/>
                <w:color w:val="404040"/>
                <w:sz w:val="20"/>
                <w:szCs w:val="20"/>
              </w:rPr>
              <w:t xml:space="preserve">Month 6–12</w:t>
            </w:r>
          </w:p>
        </w:tc>
      </w:tr>
    </w:tbl>
    <w:p>
      <w:pPr>
        <w:spacing w:after="0" w:before="360"/>
      </w:pPr>
      <w:r>
        <w:t xml:space="preserve"/>
      </w:r>
    </w:p>
    <w:p>
      <w:pPr>
        <w:pBdr>
          <w:top w:val="single" w:color="1F5C99" w:sz="6" w:space="6"/>
        </w:pBdr>
        <w:spacing w:after="60" w:before="120"/>
        <w:jc w:val="center"/>
      </w:pPr>
      <w:r>
        <w:rPr>
          <w:rFonts w:ascii="Arial" w:cs="Arial" w:eastAsia="Arial" w:hAnsi="Arial"/>
          <w:color w:val="888888"/>
          <w:sz w:val="18"/>
          <w:szCs w:val="18"/>
        </w:rPr>
        <w:t xml:space="preserve">Dr Boon Lay Ong  |  Senior Lecturer, Curtin University  |  Founder, Green Plot Ratio Institute</w:t>
      </w:r>
    </w:p>
    <w:p>
      <w:pPr>
        <w:spacing w:after="0" w:before="0"/>
        <w:jc w:val="center"/>
      </w:pPr>
      <w:r>
        <w:rPr>
          <w:rFonts w:ascii="Arial" w:cs="Arial" w:eastAsia="Arial" w:hAnsi="Arial"/>
          <w:i/>
          <w:iCs/>
          <w:color w:val="AAAAAA"/>
          <w:sz w:val="16"/>
          <w:szCs w:val="16"/>
        </w:rPr>
        <w:t xml:space="preserve">This document is Commercial-in-Confidence and intended solely for Curtin Commercialisation Office.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5C99"/>
      <w:sz w:val="28"/>
      <w:szCs w:val="28"/>
    </w:rPr>
  </w:style>
  <w:style w:type="paragraph" w:styleId="Heading2">
    <w:name w:val="Heading 2"/>
    <w:basedOn w:val="Normal"/>
    <w:next w:val="Normal"/>
    <w:qFormat/>
    <w:pPr>
      <w:spacing w:after="80" w:before="24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2026-05-24T22:22:24.367Z</dcterms:created>
  <dcterms:modified xsi:type="dcterms:W3CDTF">2026-05-24T22:22:24.367Z</dcterms:modified>
</cp:coreProperties>
</file>

<file path=docProps/custom.xml><?xml version="1.0" encoding="utf-8"?>
<Properties xmlns="http://schemas.openxmlformats.org/officeDocument/2006/custom-properties" xmlns:vt="http://schemas.openxmlformats.org/officeDocument/2006/docPropsVTypes"/>
</file>