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5C99" w:sz="12" w:space="16"/>
        </w:pBdr>
        <w:spacing w:after="0" w:before="0"/>
      </w:pPr>
      <w:r>
        <w:rPr>
          <w:sz w:val="2"/>
          <w:szCs w:val="2"/>
        </w:rPr>
        <w:t xml:space="preserve"/>
      </w:r>
    </w:p>
    <w:p>
      <w:pPr>
        <w:spacing w:after="0" w:before="480"/>
      </w:pPr>
      <w:r>
        <w:t xml:space="preserve"/>
      </w:r>
    </w:p>
    <w:p>
      <w:pPr>
        <w:spacing w:after="60" w:before="0"/>
      </w:pPr>
      <w:r>
        <w:rPr>
          <w:rFonts w:ascii="Arial" w:cs="Arial" w:eastAsia="Arial" w:hAnsi="Arial"/>
          <w:b/>
          <w:bCs/>
          <w:color w:val="666666"/>
          <w:sz w:val="20"/>
          <w:szCs w:val="20"/>
        </w:rPr>
        <w:t xml:space="preserve">GREEN PLOT RATIO INSTITUTE</w:t>
      </w:r>
    </w:p>
    <w:p>
      <w:pPr>
        <w:spacing w:after="80" w:before="0"/>
      </w:pPr>
      <w:r>
        <w:rPr>
          <w:rFonts w:ascii="Arial" w:cs="Arial" w:eastAsia="Arial" w:hAnsi="Arial"/>
          <w:b/>
          <w:bCs/>
          <w:color w:val="1F5C99"/>
          <w:sz w:val="48"/>
          <w:szCs w:val="48"/>
        </w:rPr>
        <w:t xml:space="preserve">Founding Partner Programme</w:t>
      </w:r>
    </w:p>
    <w:p>
      <w:pPr>
        <w:spacing w:after="40" w:before="0"/>
      </w:pPr>
      <w:r>
        <w:rPr>
          <w:rFonts w:ascii="Arial" w:cs="Arial" w:eastAsia="Arial" w:hAnsi="Arial"/>
          <w:i/>
          <w:iCs/>
          <w:color w:val="2E75B6"/>
          <w:sz w:val="28"/>
          <w:szCs w:val="28"/>
        </w:rPr>
        <w:t xml:space="preserve">Shape the global standard for urban greenery assessment.</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4"/>
              <w:bottom w:val="single" w:color="2E75B6" w:sz="4"/>
              <w:right w:val="single" w:color="2E75B6" w:sz="4"/>
            </w:tcBorders>
            <w:shd w:fill="D6E4F0" w:val="clear"/>
            <w:tcMar>
              <w:top w:type="dxa" w:w="160"/>
              <w:left w:type="dxa" w:w="200"/>
              <w:bottom w:type="dxa" w:w="160"/>
              <w:right w:type="dxa" w:w="200"/>
            </w:tcMar>
          </w:tcPr>
          <w:p>
            <w:pPr>
              <w:spacing w:after="40" w:before="60"/>
            </w:pPr>
            <w:r>
              <w:rPr>
                <w:rFonts w:ascii="Arial" w:cs="Arial" w:eastAsia="Arial" w:hAnsi="Arial"/>
                <w:b/>
                <w:bCs/>
                <w:color w:val="1F5C99"/>
                <w:sz w:val="22"/>
                <w:szCs w:val="22"/>
              </w:rPr>
              <w:t xml:space="preserve">What you are being invited to join</w:t>
            </w:r>
          </w:p>
          <w:p>
            <w:pPr>
              <w:spacing w:after="60" w:before="40"/>
            </w:pPr>
            <w:r>
              <w:rPr>
                <w:rFonts w:ascii="Arial" w:cs="Arial" w:eastAsia="Arial" w:hAnsi="Arial"/>
                <w:color w:val="404040"/>
                <w:sz w:val="22"/>
                <w:szCs w:val="22"/>
              </w:rPr>
              <w:t xml:space="preserve">GPRI is the world's first research institute dedicated to the Green Plot Ratio — the only quantitative metric for three-dimensional urban greenery. Its Global Plant Database, with over 30,000 species and urban-calibrated LAI values, is the most comprehensive resource of its kind. Founding Partners help define that standard — and gain privileged access to it.</w:t>
            </w:r>
          </w:p>
        </w:tc>
      </w:tr>
    </w:tbl>
    <w:p>
      <w:pPr>
        <w:spacing w:after="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Founding Partner fee</w:t>
            </w:r>
          </w:p>
        </w:tc>
        <w:tc>
          <w:tcPr>
            <w:tcW w:type="dxa" w:w="6226"/>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AUD $35,000 per year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Partnership term</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3 years (renewable)</w:t>
            </w:r>
          </w:p>
        </w:tc>
      </w:tr>
      <w:tr>
        <w:tc>
          <w:tcPr>
            <w:tcW w:type="dxa" w:w="28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Places available</w:t>
            </w:r>
          </w:p>
        </w:tc>
        <w:tc>
          <w:tcPr>
            <w:tcW w:type="dxa" w:w="6226"/>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Limited to 5 Founding Partners globally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Enquiries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Dr Boon Lay Ong — founder@gpri.org</w:t>
            </w:r>
          </w:p>
        </w:tc>
      </w:tr>
    </w:tbl>
    <w:p>
      <w:pPr>
        <w:spacing w:after="0" w:before="480"/>
      </w:pPr>
      <w:r>
        <w:t xml:space="preserve"/>
      </w:r>
    </w:p>
    <w:p>
      <w:pPr>
        <w:pBdr>
          <w:top w:val="single" w:color="1F5C99" w:sz="6" w:space="8"/>
        </w:pBdr>
        <w:spacing w:after="0" w:before="80"/>
        <w:jc w:val="center"/>
      </w:pPr>
      <w:r>
        <w:rPr>
          <w:rFonts w:ascii="Arial" w:cs="Arial" w:eastAsia="Arial" w:hAnsi="Arial"/>
          <w:i/>
          <w:iCs/>
          <w:color w:val="666666"/>
          <w:sz w:val="18"/>
          <w:szCs w:val="18"/>
        </w:rPr>
        <w:t xml:space="preserve">Confidential — For Invited Recipients Only</w:t>
      </w:r>
    </w:p>
    <w:p>
      <w:r>
        <w:br w:type="page"/>
      </w:r>
    </w:p>
    <w:p>
      <w:pPr>
        <w:pStyle w:val="Heading1"/>
        <w:pBdr>
          <w:bottom w:val="single" w:color="2E75B6" w:sz="8" w:space="8"/>
        </w:pBdr>
        <w:spacing w:after="120" w:before="400"/>
      </w:pPr>
      <w:r>
        <w:rPr>
          <w:rFonts w:ascii="Arial" w:cs="Arial" w:eastAsia="Arial" w:hAnsi="Arial"/>
          <w:b/>
          <w:bCs/>
          <w:color w:val="1F5C99"/>
          <w:sz w:val="30"/>
          <w:szCs w:val="30"/>
        </w:rPr>
        <w:t xml:space="preserve">1. The Problem We Are Solving</w:t>
      </w:r>
    </w:p>
    <w:p>
      <w:pPr>
        <w:spacing w:after="80" w:before="80"/>
      </w:pPr>
      <w:r>
        <w:rPr>
          <w:rFonts w:ascii="Arial" w:cs="Arial" w:eastAsia="Arial" w:hAnsi="Arial"/>
          <w:color w:val="404040"/>
          <w:sz w:val="22"/>
          <w:szCs w:val="22"/>
        </w:rPr>
        <w:t xml:space="preserve">Every city that builds parks, green roofs, living walls, or tree-lined streets is making a greenery investment. But almost none of them can measure it precisely.</w:t>
      </w:r>
    </w:p>
    <w:p>
      <w:pPr>
        <w:spacing w:after="0" w:before="80"/>
      </w:pPr>
      <w:r>
        <w:t xml:space="preserve"/>
      </w:r>
    </w:p>
    <w:p>
      <w:pPr>
        <w:spacing w:after="80" w:before="80"/>
      </w:pPr>
      <w:r>
        <w:rPr>
          <w:rFonts w:ascii="Arial" w:cs="Arial" w:eastAsia="Arial" w:hAnsi="Arial"/>
          <w:color w:val="404040"/>
          <w:sz w:val="22"/>
          <w:szCs w:val="22"/>
        </w:rPr>
        <w:t xml:space="preserve">Current practice relies on two-dimensional metrics — coverage ratios, canopy percentage, floor area ratios. These ignore the vertical dimension of plants entirely. A grass lawn and a mature tree canopy score the same. A green wall and an open lawn are indistinguishable.</w:t>
      </w:r>
    </w:p>
    <w:p>
      <w:pPr>
        <w:spacing w:after="0" w:before="80"/>
      </w:pPr>
      <w:r>
        <w:t xml:space="preserve"/>
      </w:r>
    </w:p>
    <w:p>
      <w:pPr>
        <w:spacing w:after="80" w:before="80"/>
      </w:pPr>
      <w:r>
        <w:rPr>
          <w:rFonts w:ascii="Arial" w:cs="Arial" w:eastAsia="Arial" w:hAnsi="Arial"/>
          <w:color w:val="404040"/>
          <w:sz w:val="22"/>
          <w:szCs w:val="22"/>
        </w:rPr>
        <w:t xml:space="preserve">The result: billions of dollars spent on urban greenery with no defensible way to compare, certify, or optimise its ecological value. Clients cannot verify claims. Certifiers rely on proxies. Researchers use incompatible measures.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D52" w:sz="4"/>
              <w:left w:val="single" w:color="2E7D52" w:sz="4"/>
              <w:bottom w:val="single" w:color="2E7D52" w:sz="4"/>
              <w:right w:val="single" w:color="2E7D52" w:sz="4"/>
            </w:tcBorders>
            <w:shd w:fill="E8F5EE" w:val="clear"/>
            <w:tcMar>
              <w:top w:type="dxa" w:w="160"/>
              <w:left w:type="dxa" w:w="200"/>
              <w:bottom w:type="dxa" w:w="160"/>
              <w:right w:type="dxa" w:w="200"/>
            </w:tcMar>
          </w:tcPr>
          <w:p>
            <w:pPr>
              <w:spacing w:after="40" w:before="60"/>
            </w:pPr>
            <w:r>
              <w:rPr>
                <w:rFonts w:ascii="Arial" w:cs="Arial" w:eastAsia="Arial" w:hAnsi="Arial"/>
                <w:b/>
                <w:bCs/>
                <w:color w:val="2E7D52"/>
                <w:sz w:val="22"/>
                <w:szCs w:val="22"/>
              </w:rPr>
              <w:t xml:space="preserve">The Green Plot Ratio solves this.</w:t>
            </w:r>
          </w:p>
          <w:p>
            <w:pPr>
              <w:spacing w:after="60" w:before="40"/>
            </w:pPr>
            <w:r>
              <w:rPr>
                <w:rFonts w:ascii="Arial" w:cs="Arial" w:eastAsia="Arial" w:hAnsi="Arial"/>
                <w:color w:val="404040"/>
                <w:sz w:val="22"/>
                <w:szCs w:val="22"/>
              </w:rPr>
              <w:t xml:space="preserve">GPR quantifies urban greenery in three dimensions using Leaf Area Index (LAI) — the total leaf surface area per unit ground area. It is the only published, peer-reviewed, globally cited metric that does so. Invented by Dr Boon Lay Ong and published in Landscape and Urban Planning (2003), GPR has accumulated over 464 citations across research, policy, and practice worldwide.</w:t>
            </w:r>
          </w:p>
        </w:tc>
      </w:tr>
    </w:tbl>
    <w:p>
      <w:pPr>
        <w:spacing w:after="0" w:before="240"/>
      </w:pPr>
      <w:r>
        <w:t xml:space="preserve"/>
      </w:r>
    </w:p>
    <w:p>
      <w:pPr>
        <w:pStyle w:val="Heading1"/>
        <w:pBdr>
          <w:bottom w:val="single" w:color="2E75B6" w:sz="8" w:space="8"/>
        </w:pBdr>
        <w:spacing w:after="120" w:before="400"/>
      </w:pPr>
      <w:r>
        <w:rPr>
          <w:rFonts w:ascii="Arial" w:cs="Arial" w:eastAsia="Arial" w:hAnsi="Arial"/>
          <w:b/>
          <w:bCs/>
          <w:color w:val="1F5C99"/>
          <w:sz w:val="30"/>
          <w:szCs w:val="30"/>
        </w:rPr>
        <w:t xml:space="preserve">2. The Asset — GPRI Global Plant Database</w:t>
      </w:r>
    </w:p>
    <w:p>
      <w:pPr>
        <w:spacing w:after="80" w:before="80"/>
      </w:pPr>
      <w:r>
        <w:rPr>
          <w:rFonts w:ascii="Arial" w:cs="Arial" w:eastAsia="Arial" w:hAnsi="Arial"/>
          <w:color w:val="404040"/>
          <w:sz w:val="22"/>
          <w:szCs w:val="22"/>
        </w:rPr>
        <w:t xml:space="preserve">At the heart of GPRI is an asset no competitor has built: the world's most comprehensive LAI database for urban vegetation assessment.</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Database fact</w:t>
            </w:r>
          </w:p>
        </w:tc>
        <w:tc>
          <w:tcPr>
            <w:tcW w:type="dxa" w:w="5826"/>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Species covered</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30,000+ plant species with LAI values</w:t>
            </w:r>
          </w:p>
        </w:tc>
      </w:tr>
      <w:tr>
        <w:tc>
          <w:tcPr>
            <w:tcW w:type="dxa" w:w="32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Urban calibration</w:t>
            </w:r>
          </w:p>
        </w:tc>
        <w:tc>
          <w:tcPr>
            <w:tcW w:type="dxa" w:w="5826"/>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Field-measured urban species data from Singapore — unique globally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Data sourcing</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Multiple acquisition techniques across global botanical and ecological literature</w:t>
            </w:r>
          </w:p>
        </w:tc>
      </w:tr>
      <w:tr>
        <w:tc>
          <w:tcPr>
            <w:tcW w:type="dxa" w:w="32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Provenance</w:t>
            </w:r>
          </w:p>
        </w:tc>
        <w:tc>
          <w:tcPr>
            <w:tcW w:type="dxa" w:w="5826"/>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Every record classified by source type and confidence tier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Comparison</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TRY and ORNL — the leading alternatives — do not provide urban-calibrated LAI at this scale</w:t>
            </w:r>
          </w:p>
        </w:tc>
      </w:tr>
      <w:tr>
        <w:tc>
          <w:tcPr>
            <w:tcW w:type="dxa" w:w="32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Publication pathway</w:t>
            </w:r>
          </w:p>
        </w:tc>
        <w:tc>
          <w:tcPr>
            <w:tcW w:type="dxa" w:w="5826"/>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Submission to Scientific Data (Nature Portfolio) — peer-reviewed database descriptor</w:t>
            </w:r>
          </w:p>
        </w:tc>
      </w:tr>
    </w:tbl>
    <w:p>
      <w:pPr>
        <w:spacing w:after="0" w:before="120"/>
      </w:pPr>
      <w:r>
        <w:t xml:space="preserve"/>
      </w:r>
    </w:p>
    <w:p>
      <w:pPr>
        <w:spacing w:after="80" w:before="80"/>
      </w:pPr>
      <w:r>
        <w:rPr>
          <w:rFonts w:ascii="Arial" w:cs="Arial" w:eastAsia="Arial" w:hAnsi="Arial"/>
          <w:color w:val="404040"/>
          <w:sz w:val="22"/>
          <w:szCs w:val="22"/>
        </w:rPr>
        <w:t xml:space="preserve">This database is the engine behind GPR calculations, GPRTool (GPRI's software platform), and all GPRI certification services. Founding Partners gain direct, preferential access to it — the only external organisations who do.</w:t>
      </w:r>
    </w:p>
    <w:p>
      <w:pPr>
        <w:spacing w:after="0" w:before="240"/>
      </w:pPr>
      <w:r>
        <w:t xml:space="preserve"/>
      </w:r>
    </w:p>
    <w:p>
      <w:pPr>
        <w:pStyle w:val="Heading1"/>
        <w:pBdr>
          <w:bottom w:val="single" w:color="2E75B6" w:sz="8" w:space="8"/>
        </w:pBdr>
        <w:spacing w:after="120" w:before="400"/>
      </w:pPr>
      <w:r>
        <w:rPr>
          <w:rFonts w:ascii="Arial" w:cs="Arial" w:eastAsia="Arial" w:hAnsi="Arial"/>
          <w:b/>
          <w:bCs/>
          <w:color w:val="1F5C99"/>
          <w:sz w:val="30"/>
          <w:szCs w:val="30"/>
        </w:rPr>
        <w:t xml:space="preserve">3. What Founding Partners Receive</w:t>
      </w:r>
    </w:p>
    <w:p>
      <w:pPr>
        <w:spacing w:after="80" w:before="80"/>
      </w:pPr>
      <w:r>
        <w:rPr>
          <w:rFonts w:ascii="Arial" w:cs="Arial" w:eastAsia="Arial" w:hAnsi="Arial"/>
          <w:color w:val="404040"/>
          <w:sz w:val="22"/>
          <w:szCs w:val="22"/>
        </w:rPr>
        <w:t xml:space="preserve">Founding Partnership is not a donation or sponsorship. It is a structured access and positioning agreement that delivers measurable commercial and reputational value.</w:t>
      </w:r>
    </w:p>
    <w:p>
      <w:pPr>
        <w:spacing w:after="0" w:before="120"/>
      </w:pPr>
      <w:r>
        <w:t xml:space="preserve"/>
      </w:r>
    </w:p>
    <w:p>
      <w:pPr>
        <w:pStyle w:val="Heading2"/>
        <w:spacing w:after="80" w:before="280"/>
      </w:pPr>
      <w:r>
        <w:rPr>
          <w:rFonts w:ascii="Arial" w:cs="Arial" w:eastAsia="Arial" w:hAnsi="Arial"/>
          <w:b/>
          <w:bCs/>
          <w:color w:val="2E7D52"/>
          <w:sz w:val="24"/>
          <w:szCs w:val="24"/>
        </w:rPr>
        <w:t xml:space="preserve">3.1 Database Access</w:t>
      </w:r>
    </w:p>
    <w:p>
      <w:pPr>
        <w:pStyle w:val="ListParagraph"/>
        <w:numPr>
          <w:ilvl w:val="0"/>
          <w:numId w:val="2"/>
        </w:numPr>
        <w:spacing w:after="60" w:before="60"/>
      </w:pPr>
      <w:r>
        <w:rPr>
          <w:rFonts w:ascii="Arial" w:cs="Arial" w:eastAsia="Arial" w:hAnsi="Arial"/>
          <w:b w:val="false"/>
          <w:bCs w:val="false"/>
          <w:color w:val="404040"/>
          <w:sz w:val="22"/>
          <w:szCs w:val="22"/>
        </w:rPr>
        <w:t xml:space="preserve">Full API access to the GPRI Global Plant Database — all 30,000+ species</w:t>
      </w:r>
    </w:p>
    <w:p>
      <w:pPr>
        <w:pStyle w:val="ListParagraph"/>
        <w:numPr>
          <w:ilvl w:val="0"/>
          <w:numId w:val="2"/>
        </w:numPr>
        <w:spacing w:after="60" w:before="60"/>
      </w:pPr>
      <w:r>
        <w:rPr>
          <w:rFonts w:ascii="Arial" w:cs="Arial" w:eastAsia="Arial" w:hAnsi="Arial"/>
          <w:b w:val="false"/>
          <w:bCs w:val="false"/>
          <w:color w:val="404040"/>
          <w:sz w:val="22"/>
          <w:szCs w:val="22"/>
        </w:rPr>
        <w:t xml:space="preserve">Priority access to new species additions and urban calibration updates</w:t>
      </w:r>
    </w:p>
    <w:p>
      <w:pPr>
        <w:pStyle w:val="ListParagraph"/>
        <w:numPr>
          <w:ilvl w:val="0"/>
          <w:numId w:val="2"/>
        </w:numPr>
        <w:spacing w:after="60" w:before="60"/>
      </w:pPr>
      <w:r>
        <w:rPr>
          <w:rFonts w:ascii="Arial" w:cs="Arial" w:eastAsia="Arial" w:hAnsi="Arial"/>
          <w:b w:val="false"/>
          <w:bCs w:val="false"/>
          <w:color w:val="404040"/>
          <w:sz w:val="22"/>
          <w:szCs w:val="22"/>
        </w:rPr>
        <w:t xml:space="preserve">Downloadable species datasets for internal use in project calculations</w:t>
      </w:r>
    </w:p>
    <w:p>
      <w:pPr>
        <w:pStyle w:val="ListParagraph"/>
        <w:numPr>
          <w:ilvl w:val="0"/>
          <w:numId w:val="2"/>
        </w:numPr>
        <w:spacing w:after="60" w:before="60"/>
      </w:pPr>
      <w:r>
        <w:rPr>
          <w:rFonts w:ascii="Arial" w:cs="Arial" w:eastAsia="Arial" w:hAnsi="Arial"/>
          <w:b w:val="false"/>
          <w:bCs w:val="false"/>
          <w:color w:val="404040"/>
          <w:sz w:val="22"/>
          <w:szCs w:val="22"/>
        </w:rPr>
        <w:t xml:space="preserve">Dedicated data support for project-specific queries</w:t>
      </w:r>
    </w:p>
    <w:p>
      <w:pPr>
        <w:spacing w:after="0" w:before="80"/>
      </w:pPr>
      <w:r>
        <w:t xml:space="preserve"/>
      </w:r>
    </w:p>
    <w:p>
      <w:pPr>
        <w:pStyle w:val="Heading2"/>
        <w:spacing w:after="80" w:before="280"/>
      </w:pPr>
      <w:r>
        <w:rPr>
          <w:rFonts w:ascii="Arial" w:cs="Arial" w:eastAsia="Arial" w:hAnsi="Arial"/>
          <w:b/>
          <w:bCs/>
          <w:color w:val="2E7D52"/>
          <w:sz w:val="24"/>
          <w:szCs w:val="24"/>
        </w:rPr>
        <w:t xml:space="preserve">3.2 GPRTool Platform Access</w:t>
      </w:r>
    </w:p>
    <w:p>
      <w:pPr>
        <w:pStyle w:val="ListParagraph"/>
        <w:numPr>
          <w:ilvl w:val="0"/>
          <w:numId w:val="2"/>
        </w:numPr>
        <w:spacing w:after="60" w:before="60"/>
      </w:pPr>
      <w:r>
        <w:rPr>
          <w:rFonts w:ascii="Arial" w:cs="Arial" w:eastAsia="Arial" w:hAnsi="Arial"/>
          <w:b w:val="false"/>
          <w:bCs w:val="false"/>
          <w:color w:val="404040"/>
          <w:sz w:val="22"/>
          <w:szCs w:val="22"/>
        </w:rPr>
        <w:t xml:space="preserve">Unlimited licences for your firm's staff — no per-seat charge</w:t>
      </w:r>
    </w:p>
    <w:p>
      <w:pPr>
        <w:pStyle w:val="ListParagraph"/>
        <w:numPr>
          <w:ilvl w:val="0"/>
          <w:numId w:val="2"/>
        </w:numPr>
        <w:spacing w:after="60" w:before="60"/>
      </w:pPr>
      <w:r>
        <w:rPr>
          <w:rFonts w:ascii="Arial" w:cs="Arial" w:eastAsia="Arial" w:hAnsi="Arial"/>
          <w:b w:val="false"/>
          <w:bCs w:val="false"/>
          <w:color w:val="404040"/>
          <w:sz w:val="22"/>
          <w:szCs w:val="22"/>
        </w:rPr>
        <w:t xml:space="preserve">Early access to new GPRTool features before public release</w:t>
      </w:r>
    </w:p>
    <w:p>
      <w:pPr>
        <w:pStyle w:val="ListParagraph"/>
        <w:numPr>
          <w:ilvl w:val="0"/>
          <w:numId w:val="2"/>
        </w:numPr>
        <w:spacing w:after="60" w:before="60"/>
      </w:pPr>
      <w:r>
        <w:rPr>
          <w:rFonts w:ascii="Arial" w:cs="Arial" w:eastAsia="Arial" w:hAnsi="Arial"/>
          <w:b w:val="false"/>
          <w:bCs w:val="false"/>
          <w:color w:val="404040"/>
          <w:sz w:val="22"/>
          <w:szCs w:val="22"/>
        </w:rPr>
        <w:t xml:space="preserve">Custom configuration support for your project workflow</w:t>
      </w:r>
    </w:p>
    <w:p>
      <w:pPr>
        <w:spacing w:after="0" w:before="80"/>
      </w:pPr>
      <w:r>
        <w:t xml:space="preserve"/>
      </w:r>
    </w:p>
    <w:p>
      <w:pPr>
        <w:pStyle w:val="Heading2"/>
        <w:spacing w:after="80" w:before="280"/>
      </w:pPr>
      <w:r>
        <w:rPr>
          <w:rFonts w:ascii="Arial" w:cs="Arial" w:eastAsia="Arial" w:hAnsi="Arial"/>
          <w:b/>
          <w:bCs/>
          <w:color w:val="2E7D52"/>
          <w:sz w:val="24"/>
          <w:szCs w:val="24"/>
        </w:rPr>
        <w:t xml:space="preserve">3.3 Research and Publication Rights</w:t>
      </w:r>
    </w:p>
    <w:p>
      <w:pPr>
        <w:pStyle w:val="ListParagraph"/>
        <w:numPr>
          <w:ilvl w:val="0"/>
          <w:numId w:val="2"/>
        </w:numPr>
        <w:spacing w:after="60" w:before="60"/>
      </w:pPr>
      <w:r>
        <w:rPr>
          <w:rFonts w:ascii="Arial" w:cs="Arial" w:eastAsia="Arial" w:hAnsi="Arial"/>
          <w:b w:val="false"/>
          <w:bCs w:val="false"/>
          <w:color w:val="404040"/>
          <w:sz w:val="22"/>
          <w:szCs w:val="22"/>
        </w:rPr>
        <w:t xml:space="preserve">Co-authorship on one GPRI case study publication per year (your projects, your city)</w:t>
      </w:r>
    </w:p>
    <w:p>
      <w:pPr>
        <w:pStyle w:val="ListParagraph"/>
        <w:numPr>
          <w:ilvl w:val="0"/>
          <w:numId w:val="2"/>
        </w:numPr>
        <w:spacing w:after="60" w:before="60"/>
      </w:pPr>
      <w:r>
        <w:rPr>
          <w:rFonts w:ascii="Arial" w:cs="Arial" w:eastAsia="Arial" w:hAnsi="Arial"/>
          <w:b w:val="false"/>
          <w:bCs w:val="false"/>
          <w:color w:val="404040"/>
          <w:sz w:val="22"/>
          <w:szCs w:val="22"/>
        </w:rPr>
        <w:t xml:space="preserve">Acknowledgement in all GPRI publications for the partnership term</w:t>
      </w:r>
    </w:p>
    <w:p>
      <w:pPr>
        <w:pStyle w:val="ListParagraph"/>
        <w:numPr>
          <w:ilvl w:val="0"/>
          <w:numId w:val="2"/>
        </w:numPr>
        <w:spacing w:after="60" w:before="60"/>
      </w:pPr>
      <w:r>
        <w:rPr>
          <w:rFonts w:ascii="Arial" w:cs="Arial" w:eastAsia="Arial" w:hAnsi="Arial"/>
          <w:b w:val="false"/>
          <w:bCs w:val="false"/>
          <w:color w:val="404040"/>
          <w:sz w:val="22"/>
          <w:szCs w:val="22"/>
        </w:rPr>
        <w:t xml:space="preserve">Access to pre-publication research findings — 6 months ahead of public release</w:t>
      </w:r>
    </w:p>
    <w:p>
      <w:pPr>
        <w:spacing w:after="0" w:before="80"/>
      </w:pPr>
      <w:r>
        <w:t xml:space="preserve"/>
      </w:r>
    </w:p>
    <w:p>
      <w:pPr>
        <w:pStyle w:val="Heading2"/>
        <w:spacing w:after="80" w:before="280"/>
      </w:pPr>
      <w:r>
        <w:rPr>
          <w:rFonts w:ascii="Arial" w:cs="Arial" w:eastAsia="Arial" w:hAnsi="Arial"/>
          <w:b/>
          <w:bCs/>
          <w:color w:val="2E7D52"/>
          <w:sz w:val="24"/>
          <w:szCs w:val="24"/>
        </w:rPr>
        <w:t xml:space="preserve">3.4 Certification Advantage</w:t>
      </w:r>
    </w:p>
    <w:p>
      <w:pPr>
        <w:pStyle w:val="ListParagraph"/>
        <w:numPr>
          <w:ilvl w:val="0"/>
          <w:numId w:val="2"/>
        </w:numPr>
        <w:spacing w:after="60" w:before="60"/>
      </w:pPr>
      <w:r>
        <w:rPr>
          <w:rFonts w:ascii="Arial" w:cs="Arial" w:eastAsia="Arial" w:hAnsi="Arial"/>
          <w:b w:val="false"/>
          <w:bCs w:val="false"/>
          <w:color w:val="404040"/>
          <w:sz w:val="22"/>
          <w:szCs w:val="22"/>
        </w:rPr>
        <w:t xml:space="preserve">Preferential rates on all GPR Certification assessments — 30% discount</w:t>
      </w:r>
    </w:p>
    <w:p>
      <w:pPr>
        <w:pStyle w:val="ListParagraph"/>
        <w:numPr>
          <w:ilvl w:val="0"/>
          <w:numId w:val="2"/>
        </w:numPr>
        <w:spacing w:after="60" w:before="60"/>
      </w:pPr>
      <w:r>
        <w:rPr>
          <w:rFonts w:ascii="Arial" w:cs="Arial" w:eastAsia="Arial" w:hAnsi="Arial"/>
          <w:b w:val="false"/>
          <w:bCs w:val="false"/>
          <w:color w:val="404040"/>
          <w:sz w:val="22"/>
          <w:szCs w:val="22"/>
        </w:rPr>
        <w:t xml:space="preserve">Priority assessment scheduling</w:t>
      </w:r>
    </w:p>
    <w:p>
      <w:pPr>
        <w:pStyle w:val="ListParagraph"/>
        <w:numPr>
          <w:ilvl w:val="0"/>
          <w:numId w:val="2"/>
        </w:numPr>
        <w:spacing w:after="60" w:before="60"/>
      </w:pPr>
      <w:r>
        <w:rPr>
          <w:rFonts w:ascii="Arial" w:cs="Arial" w:eastAsia="Arial" w:hAnsi="Arial"/>
          <w:b w:val="false"/>
          <w:bCs w:val="false"/>
          <w:color w:val="404040"/>
          <w:sz w:val="22"/>
          <w:szCs w:val="22"/>
        </w:rPr>
        <w:t xml:space="preserve">GPRI Founding Partner designation on certified projects</w:t>
      </w:r>
    </w:p>
    <w:p>
      <w:pPr>
        <w:spacing w:after="0" w:before="80"/>
      </w:pPr>
      <w:r>
        <w:t xml:space="preserve"/>
      </w:r>
    </w:p>
    <w:p>
      <w:pPr>
        <w:pStyle w:val="Heading2"/>
        <w:spacing w:after="80" w:before="280"/>
      </w:pPr>
      <w:r>
        <w:rPr>
          <w:rFonts w:ascii="Arial" w:cs="Arial" w:eastAsia="Arial" w:hAnsi="Arial"/>
          <w:b/>
          <w:bCs/>
          <w:color w:val="2E7D52"/>
          <w:sz w:val="24"/>
          <w:szCs w:val="24"/>
        </w:rPr>
        <w:t xml:space="preserve">3.5 Positioning and Profile</w:t>
      </w:r>
    </w:p>
    <w:p>
      <w:pPr>
        <w:pStyle w:val="ListParagraph"/>
        <w:numPr>
          <w:ilvl w:val="0"/>
          <w:numId w:val="2"/>
        </w:numPr>
        <w:spacing w:after="60" w:before="60"/>
      </w:pPr>
      <w:r>
        <w:rPr>
          <w:rFonts w:ascii="Arial" w:cs="Arial" w:eastAsia="Arial" w:hAnsi="Arial"/>
          <w:b w:val="false"/>
          <w:bCs w:val="false"/>
          <w:color w:val="404040"/>
          <w:sz w:val="22"/>
          <w:szCs w:val="22"/>
        </w:rPr>
        <w:t xml:space="preserve">'GPRI Founding Partner' designation — use in proposals, marketing, and credentials</w:t>
      </w:r>
    </w:p>
    <w:p>
      <w:pPr>
        <w:pStyle w:val="ListParagraph"/>
        <w:numPr>
          <w:ilvl w:val="0"/>
          <w:numId w:val="2"/>
        </w:numPr>
        <w:spacing w:after="60" w:before="60"/>
      </w:pPr>
      <w:r>
        <w:rPr>
          <w:rFonts w:ascii="Arial" w:cs="Arial" w:eastAsia="Arial" w:hAnsi="Arial"/>
          <w:b w:val="false"/>
          <w:bCs w:val="false"/>
          <w:color w:val="404040"/>
          <w:sz w:val="22"/>
          <w:szCs w:val="22"/>
        </w:rPr>
        <w:t xml:space="preserve">Logo placement on GPRI website, publications, and conference materials</w:t>
      </w:r>
    </w:p>
    <w:p>
      <w:pPr>
        <w:pStyle w:val="ListParagraph"/>
        <w:numPr>
          <w:ilvl w:val="0"/>
          <w:numId w:val="2"/>
        </w:numPr>
        <w:spacing w:after="60" w:before="60"/>
      </w:pPr>
      <w:r>
        <w:rPr>
          <w:rFonts w:ascii="Arial" w:cs="Arial" w:eastAsia="Arial" w:hAnsi="Arial"/>
          <w:b w:val="false"/>
          <w:bCs w:val="false"/>
          <w:color w:val="404040"/>
          <w:sz w:val="22"/>
          <w:szCs w:val="22"/>
        </w:rPr>
        <w:t xml:space="preserve">Seat on the GPRI Practitioner Advisory Panel — direct input into database priorities and tool development</w:t>
      </w:r>
    </w:p>
    <w:p>
      <w:pPr>
        <w:pStyle w:val="ListParagraph"/>
        <w:numPr>
          <w:ilvl w:val="0"/>
          <w:numId w:val="2"/>
        </w:numPr>
        <w:spacing w:after="60" w:before="60"/>
      </w:pPr>
      <w:r>
        <w:rPr>
          <w:rFonts w:ascii="Arial" w:cs="Arial" w:eastAsia="Arial" w:hAnsi="Arial"/>
          <w:b w:val="false"/>
          <w:bCs w:val="false"/>
          <w:color w:val="404040"/>
          <w:sz w:val="22"/>
          <w:szCs w:val="22"/>
        </w:rPr>
        <w:t xml:space="preserve">Annual Founding Partner briefing — direct access to the Director and research pipeline</w:t>
      </w:r>
    </w:p>
    <w:p>
      <w:pPr>
        <w:spacing w:after="0" w:before="80"/>
      </w:pPr>
      <w:r>
        <w:t xml:space="preserve"/>
      </w:r>
    </w:p>
    <w:p>
      <w:pPr>
        <w:pStyle w:val="Heading2"/>
        <w:spacing w:after="80" w:before="280"/>
      </w:pPr>
      <w:r>
        <w:rPr>
          <w:rFonts w:ascii="Arial" w:cs="Arial" w:eastAsia="Arial" w:hAnsi="Arial"/>
          <w:b/>
          <w:bCs/>
          <w:color w:val="2E7D52"/>
          <w:sz w:val="24"/>
          <w:szCs w:val="24"/>
        </w:rPr>
        <w:t xml:space="preserve">3.6 Staff Development</w:t>
      </w:r>
    </w:p>
    <w:p>
      <w:pPr>
        <w:pStyle w:val="ListParagraph"/>
        <w:numPr>
          <w:ilvl w:val="0"/>
          <w:numId w:val="2"/>
        </w:numPr>
        <w:spacing w:after="60" w:before="60"/>
      </w:pPr>
      <w:r>
        <w:rPr>
          <w:rFonts w:ascii="Arial" w:cs="Arial" w:eastAsia="Arial" w:hAnsi="Arial"/>
          <w:b w:val="false"/>
          <w:bCs w:val="false"/>
          <w:color w:val="404040"/>
          <w:sz w:val="22"/>
          <w:szCs w:val="22"/>
        </w:rPr>
        <w:t xml:space="preserve">Unlimited access to GPRI online training courses and video tutorials</w:t>
      </w:r>
    </w:p>
    <w:p>
      <w:pPr>
        <w:pStyle w:val="ListParagraph"/>
        <w:numPr>
          <w:ilvl w:val="0"/>
          <w:numId w:val="2"/>
        </w:numPr>
        <w:spacing w:after="60" w:before="60"/>
      </w:pPr>
      <w:r>
        <w:rPr>
          <w:rFonts w:ascii="Arial" w:cs="Arial" w:eastAsia="Arial" w:hAnsi="Arial"/>
          <w:b w:val="false"/>
          <w:bCs w:val="false"/>
          <w:color w:val="404040"/>
          <w:sz w:val="22"/>
          <w:szCs w:val="22"/>
        </w:rPr>
        <w:t xml:space="preserve">Staff CPD certification in GPR methodology — a differentiating credential</w:t>
      </w:r>
    </w:p>
    <w:p>
      <w:pPr>
        <w:pStyle w:val="ListParagraph"/>
        <w:numPr>
          <w:ilvl w:val="0"/>
          <w:numId w:val="2"/>
        </w:numPr>
        <w:spacing w:after="60" w:before="60"/>
      </w:pPr>
      <w:r>
        <w:rPr>
          <w:rFonts w:ascii="Arial" w:cs="Arial" w:eastAsia="Arial" w:hAnsi="Arial"/>
          <w:b w:val="false"/>
          <w:bCs w:val="false"/>
          <w:color w:val="404040"/>
          <w:sz w:val="22"/>
          <w:szCs w:val="22"/>
        </w:rPr>
        <w:t xml:space="preserve">Invitation to GPRI Annual Summit (in-person and online)</w:t>
      </w:r>
    </w:p>
    <w:p>
      <w:pPr>
        <w:spacing w:after="0" w:before="240"/>
      </w:pPr>
      <w:r>
        <w:t xml:space="preserve"/>
      </w:r>
    </w:p>
    <w:p>
      <w:pPr>
        <w:pStyle w:val="Heading1"/>
        <w:pBdr>
          <w:bottom w:val="single" w:color="2E75B6" w:sz="8" w:space="8"/>
        </w:pBdr>
        <w:spacing w:after="120" w:before="400"/>
      </w:pPr>
      <w:r>
        <w:rPr>
          <w:rFonts w:ascii="Arial" w:cs="Arial" w:eastAsia="Arial" w:hAnsi="Arial"/>
          <w:b/>
          <w:bCs/>
          <w:color w:val="1F5C99"/>
          <w:sz w:val="30"/>
          <w:szCs w:val="30"/>
        </w:rPr>
        <w:t xml:space="preserve">4. Partnership Tiers</w:t>
      </w:r>
    </w:p>
    <w:p>
      <w:pPr>
        <w:spacing w:after="80" w:before="80"/>
      </w:pPr>
      <w:r>
        <w:rPr>
          <w:rFonts w:ascii="Arial" w:cs="Arial" w:eastAsia="Arial" w:hAnsi="Arial"/>
          <w:color w:val="404040"/>
          <w:sz w:val="22"/>
          <w:szCs w:val="22"/>
        </w:rPr>
        <w:t xml:space="preserve">Three tiers are available. Founding Partner places are strictly limited to preserve exclusivity and the integrity of the advisory relationship.</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13"/>
        <w:gridCol w:w="2813"/>
      </w:tblGrid>
      <w:tr>
        <w:tc>
          <w:tcPr>
            <w:tcW w:type="dxa" w:w="26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r>
              <w:rPr>
                <w:rFonts w:ascii="Arial" w:cs="Arial" w:eastAsia="Arial" w:hAnsi="Arial"/>
                <w:b/>
                <w:bCs/>
                <w:color w:val="FFFFFF"/>
                <w:sz w:val="20"/>
                <w:szCs w:val="20"/>
              </w:rPr>
              <w:t xml:space="preserve"/>
            </w:r>
          </w:p>
        </w:tc>
        <w:tc>
          <w:tcPr>
            <w:tcW w:type="dxa" w:w="18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r>
              <w:rPr>
                <w:rFonts w:ascii="Arial" w:cs="Arial" w:eastAsia="Arial" w:hAnsi="Arial"/>
                <w:b/>
                <w:bCs/>
                <w:color w:val="FFFFFF"/>
                <w:sz w:val="20"/>
                <w:szCs w:val="20"/>
              </w:rPr>
              <w:t xml:space="preserve">Founding Partner</w:t>
            </w:r>
          </w:p>
        </w:tc>
        <w:tc>
          <w:tcPr>
            <w:tcW w:type="dxa" w:w="1813"/>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Research Partner</w:t>
            </w:r>
          </w:p>
        </w:tc>
        <w:tc>
          <w:tcPr>
            <w:tcW w:type="dxa" w:w="2813"/>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 Partner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Annual fee (AUD)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$35,000</w:t>
            </w:r>
          </w:p>
        </w:tc>
        <w:tc>
          <w:tcPr>
            <w:tcW w:type="dxa" w:w="18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$15,000</w:t>
            </w:r>
          </w:p>
        </w:tc>
        <w:tc>
          <w:tcPr>
            <w:tcW w:type="dxa" w:w="28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$20,000</w:t>
            </w:r>
          </w:p>
        </w:tc>
      </w:tr>
      <w:tr>
        <w:tc>
          <w:tcPr>
            <w:tcW w:type="dxa" w:w="26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Places available</w:t>
            </w:r>
          </w:p>
        </w:tc>
        <w:tc>
          <w:tcPr>
            <w:tcW w:type="dxa" w:w="18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5 only</w:t>
            </w:r>
          </w:p>
        </w:tc>
        <w:tc>
          <w:tcPr>
            <w:tcW w:type="dxa" w:w="1813"/>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20</w:t>
            </w:r>
          </w:p>
        </w:tc>
        <w:tc>
          <w:tcPr>
            <w:tcW w:type="dxa" w:w="2813"/>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10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Database API access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Full — unlimited</w:t>
            </w:r>
          </w:p>
        </w:tc>
        <w:tc>
          <w:tcPr>
            <w:tcW w:type="dxa" w:w="18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Full — unlimited</w:t>
            </w:r>
          </w:p>
        </w:tc>
        <w:tc>
          <w:tcPr>
            <w:tcW w:type="dxa" w:w="28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Full — unlimited</w:t>
            </w:r>
          </w:p>
        </w:tc>
      </w:tr>
      <w:tr>
        <w:tc>
          <w:tcPr>
            <w:tcW w:type="dxa" w:w="26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GPRTool licences</w:t>
            </w:r>
          </w:p>
        </w:tc>
        <w:tc>
          <w:tcPr>
            <w:tcW w:type="dxa" w:w="18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Unlimited staff</w:t>
            </w:r>
          </w:p>
        </w:tc>
        <w:tc>
          <w:tcPr>
            <w:tcW w:type="dxa" w:w="1813"/>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Up to 10 staff</w:t>
            </w:r>
          </w:p>
        </w:tc>
        <w:tc>
          <w:tcPr>
            <w:tcW w:type="dxa" w:w="2813"/>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Unlimited staff</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Co-authored publications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1 per year</w:t>
            </w:r>
          </w:p>
        </w:tc>
        <w:tc>
          <w:tcPr>
            <w:tcW w:type="dxa" w:w="18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Acknowledgement only</w:t>
            </w:r>
          </w:p>
        </w:tc>
        <w:tc>
          <w:tcPr>
            <w:tcW w:type="dxa" w:w="28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Acknowledgement only</w:t>
            </w:r>
          </w:p>
        </w:tc>
      </w:tr>
      <w:tr>
        <w:tc>
          <w:tcPr>
            <w:tcW w:type="dxa" w:w="26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Certification discount</w:t>
            </w:r>
          </w:p>
        </w:tc>
        <w:tc>
          <w:tcPr>
            <w:tcW w:type="dxa" w:w="18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30%</w:t>
            </w:r>
          </w:p>
        </w:tc>
        <w:tc>
          <w:tcPr>
            <w:tcW w:type="dxa" w:w="1813"/>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15%</w:t>
            </w:r>
          </w:p>
        </w:tc>
        <w:tc>
          <w:tcPr>
            <w:tcW w:type="dxa" w:w="2813"/>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20%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Advisory Panel seat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Yes</w:t>
            </w:r>
          </w:p>
        </w:tc>
        <w:tc>
          <w:tcPr>
            <w:tcW w:type="dxa" w:w="18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No</w:t>
            </w:r>
          </w:p>
        </w:tc>
        <w:tc>
          <w:tcPr>
            <w:tcW w:type="dxa" w:w="28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No</w:t>
            </w:r>
          </w:p>
        </w:tc>
      </w:tr>
      <w:tr>
        <w:tc>
          <w:tcPr>
            <w:tcW w:type="dxa" w:w="26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Pre-publication access</w:t>
            </w:r>
          </w:p>
        </w:tc>
        <w:tc>
          <w:tcPr>
            <w:tcW w:type="dxa" w:w="18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Yes — 6 months</w:t>
            </w:r>
          </w:p>
        </w:tc>
        <w:tc>
          <w:tcPr>
            <w:tcW w:type="dxa" w:w="1813"/>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No</w:t>
            </w:r>
          </w:p>
        </w:tc>
        <w:tc>
          <w:tcPr>
            <w:tcW w:type="dxa" w:w="2813"/>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Staff CPD access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Unlimited</w:t>
            </w:r>
          </w:p>
        </w:tc>
        <w:tc>
          <w:tcPr>
            <w:tcW w:type="dxa" w:w="18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Up to 5 staff</w:t>
            </w:r>
          </w:p>
        </w:tc>
        <w:tc>
          <w:tcPr>
            <w:tcW w:type="dxa" w:w="28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Up to 10 staff</w:t>
            </w:r>
          </w:p>
        </w:tc>
      </w:tr>
      <w:tr>
        <w:tc>
          <w:tcPr>
            <w:tcW w:type="dxa" w:w="26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White-label GPRTool</w:t>
            </w:r>
          </w:p>
        </w:tc>
        <w:tc>
          <w:tcPr>
            <w:tcW w:type="dxa" w:w="18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On request</w:t>
            </w:r>
          </w:p>
        </w:tc>
        <w:tc>
          <w:tcPr>
            <w:tcW w:type="dxa" w:w="1813"/>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No</w:t>
            </w:r>
          </w:p>
        </w:tc>
        <w:tc>
          <w:tcPr>
            <w:tcW w:type="dxa" w:w="2813"/>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'Founding Partner' credential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Yes</w:t>
            </w:r>
          </w:p>
        </w:tc>
        <w:tc>
          <w:tcPr>
            <w:tcW w:type="dxa" w:w="18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No</w:t>
            </w:r>
          </w:p>
        </w:tc>
        <w:tc>
          <w:tcPr>
            <w:tcW w:type="dxa" w:w="28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No</w:t>
            </w:r>
          </w:p>
        </w:tc>
      </w:tr>
    </w:tbl>
    <w:p>
      <w:pPr>
        <w:spacing w:after="0" w:before="240"/>
      </w:pPr>
      <w:r>
        <w:t xml:space="preserve"/>
      </w:r>
    </w:p>
    <w:p>
      <w:pPr>
        <w:pStyle w:val="Heading1"/>
        <w:pBdr>
          <w:bottom w:val="single" w:color="2E75B6" w:sz="8" w:space="8"/>
        </w:pBdr>
        <w:spacing w:after="120" w:before="400"/>
      </w:pPr>
      <w:r>
        <w:rPr>
          <w:rFonts w:ascii="Arial" w:cs="Arial" w:eastAsia="Arial" w:hAnsi="Arial"/>
          <w:b/>
          <w:bCs/>
          <w:color w:val="1F5C99"/>
          <w:sz w:val="30"/>
          <w:szCs w:val="30"/>
        </w:rPr>
        <w:t xml:space="preserve">5. The Commercial Case for Your Firm</w:t>
      </w:r>
    </w:p>
    <w:p>
      <w:pPr>
        <w:spacing w:after="80" w:before="80"/>
      </w:pPr>
      <w:r>
        <w:rPr>
          <w:rFonts w:ascii="Arial" w:cs="Arial" w:eastAsia="Arial" w:hAnsi="Arial"/>
          <w:color w:val="404040"/>
          <w:sz w:val="22"/>
          <w:szCs w:val="22"/>
        </w:rPr>
        <w:t xml:space="preserve">Founding Partnership is a marketing and competitive intelligence investment, not a research grant. Here is how the value accrues:</w:t>
      </w:r>
    </w:p>
    <w:p>
      <w:pPr>
        <w:spacing w:after="0" w:before="120"/>
      </w:pPr>
      <w:r>
        <w:t xml:space="preserve"/>
      </w:r>
    </w:p>
    <w:p>
      <w:pPr>
        <w:pStyle w:val="Heading2"/>
        <w:spacing w:after="80" w:before="280"/>
      </w:pPr>
      <w:r>
        <w:rPr>
          <w:rFonts w:ascii="Arial" w:cs="Arial" w:eastAsia="Arial" w:hAnsi="Arial"/>
          <w:b/>
          <w:bCs/>
          <w:color w:val="2E75B6"/>
          <w:sz w:val="24"/>
          <w:szCs w:val="24"/>
        </w:rPr>
        <w:t xml:space="preserve">5.1 Competitive differentiation</w:t>
      </w:r>
    </w:p>
    <w:p>
      <w:pPr>
        <w:spacing w:after="80" w:before="80"/>
      </w:pPr>
      <w:r>
        <w:rPr>
          <w:rFonts w:ascii="Arial" w:cs="Arial" w:eastAsia="Arial" w:hAnsi="Arial"/>
          <w:color w:val="404040"/>
          <w:sz w:val="22"/>
          <w:szCs w:val="22"/>
        </w:rPr>
        <w:t xml:space="preserve">Green infrastructure is a growing requirement in development approvals, green building certification, and urban planning submissions globally. Firms that can demonstrate GPR-based analysis — backed by the world's leading LAI database — are differentiated from competitors who rely on estimates and proxies.</w:t>
      </w:r>
    </w:p>
    <w:p>
      <w:pPr>
        <w:spacing w:after="0" w:before="80"/>
      </w:pPr>
      <w:r>
        <w:t xml:space="preserve"/>
      </w:r>
    </w:p>
    <w:p>
      <w:pPr>
        <w:spacing w:after="80" w:before="80"/>
      </w:pPr>
      <w:r>
        <w:rPr>
          <w:rFonts w:ascii="Arial" w:cs="Arial" w:eastAsia="Arial" w:hAnsi="Arial"/>
          <w:color w:val="404040"/>
          <w:sz w:val="22"/>
          <w:szCs w:val="22"/>
        </w:rPr>
        <w:t xml:space="preserve">'GPRI Founding Partner' in a proposal tells a client: this firm helped build the global standard.</w:t>
      </w:r>
    </w:p>
    <w:p>
      <w:pPr>
        <w:spacing w:after="0" w:before="120"/>
      </w:pPr>
      <w:r>
        <w:t xml:space="preserve"/>
      </w:r>
    </w:p>
    <w:p>
      <w:pPr>
        <w:pStyle w:val="Heading2"/>
        <w:spacing w:after="80" w:before="280"/>
      </w:pPr>
      <w:r>
        <w:rPr>
          <w:rFonts w:ascii="Arial" w:cs="Arial" w:eastAsia="Arial" w:hAnsi="Arial"/>
          <w:b/>
          <w:bCs/>
          <w:color w:val="2E75B6"/>
          <w:sz w:val="24"/>
          <w:szCs w:val="24"/>
        </w:rPr>
        <w:t xml:space="preserve">5.2 Time saved on every project</w:t>
      </w:r>
    </w:p>
    <w:p>
      <w:pPr>
        <w:spacing w:after="80" w:before="80"/>
      </w:pPr>
      <w:r>
        <w:rPr>
          <w:rFonts w:ascii="Arial" w:cs="Arial" w:eastAsia="Arial" w:hAnsi="Arial"/>
          <w:color w:val="404040"/>
          <w:sz w:val="22"/>
          <w:szCs w:val="22"/>
        </w:rPr>
        <w:t xml:space="preserve">At current billing rates, a senior landscape architect or sustainability consultant costs $250–600 per hour. The GPRI database eliminates 10–40 hours of species research per project. At 20 projects per year, that is $50,000–$480,000 in recovered billable time — from a $35,000 annual investment.</w:t>
      </w:r>
    </w:p>
    <w:p>
      <w:pPr>
        <w:spacing w:after="0" w:before="120"/>
      </w:pPr>
      <w:r>
        <w:t xml:space="preserve"/>
      </w:r>
    </w:p>
    <w:p>
      <w:pPr>
        <w:pStyle w:val="Heading2"/>
        <w:spacing w:after="80" w:before="280"/>
      </w:pPr>
      <w:r>
        <w:rPr>
          <w:rFonts w:ascii="Arial" w:cs="Arial" w:eastAsia="Arial" w:hAnsi="Arial"/>
          <w:b/>
          <w:bCs/>
          <w:color w:val="2E75B6"/>
          <w:sz w:val="24"/>
          <w:szCs w:val="24"/>
        </w:rPr>
        <w:t xml:space="preserve">5.3 Certification submissions</w:t>
      </w:r>
    </w:p>
    <w:p>
      <w:pPr>
        <w:spacing w:after="80" w:before="80"/>
      </w:pPr>
      <w:r>
        <w:rPr>
          <w:rFonts w:ascii="Arial" w:cs="Arial" w:eastAsia="Arial" w:hAnsi="Arial"/>
          <w:color w:val="404040"/>
          <w:sz w:val="22"/>
          <w:szCs w:val="22"/>
        </w:rPr>
        <w:t xml:space="preserve">Green Mark, Green Star, LEED, and BREEAM all include greenery credits. Defensible LAI data — peer-reviewed and database-sourced — strengthens credit claims and reduces assessor queries. For certification-dependent projects, this has direct financial value.</w:t>
      </w:r>
    </w:p>
    <w:p>
      <w:pPr>
        <w:spacing w:after="0" w:before="120"/>
      </w:pPr>
      <w:r>
        <w:t xml:space="preserve"/>
      </w:r>
    </w:p>
    <w:p>
      <w:pPr>
        <w:pStyle w:val="Heading2"/>
        <w:spacing w:after="80" w:before="280"/>
      </w:pPr>
      <w:r>
        <w:rPr>
          <w:rFonts w:ascii="Arial" w:cs="Arial" w:eastAsia="Arial" w:hAnsi="Arial"/>
          <w:b/>
          <w:bCs/>
          <w:color w:val="2E75B6"/>
          <w:sz w:val="24"/>
          <w:szCs w:val="24"/>
        </w:rPr>
        <w:t xml:space="preserve">5.4 First-mover positioning</w:t>
      </w:r>
    </w:p>
    <w:p>
      <w:pPr>
        <w:spacing w:after="80" w:before="80"/>
      </w:pPr>
      <w:r>
        <w:rPr>
          <w:rFonts w:ascii="Arial" w:cs="Arial" w:eastAsia="Arial" w:hAnsi="Arial"/>
          <w:color w:val="404040"/>
          <w:sz w:val="22"/>
          <w:szCs w:val="22"/>
        </w:rPr>
        <w:t xml:space="preserve">GPR is on a trajectory to become an embedded standard in green building rating systems across Asia-Pacific, the Middle East, and Europe. Founding Partners are positioned at the point of standard-setting — not as late adopters. That positioning compounds in value as the standard grows.</w:t>
      </w:r>
    </w:p>
    <w:p>
      <w:pPr>
        <w:spacing w:after="0" w:before="240"/>
      </w:pPr>
      <w:r>
        <w:t xml:space="preserve"/>
      </w:r>
    </w:p>
    <w:p>
      <w:pPr>
        <w:pStyle w:val="Heading1"/>
        <w:pBdr>
          <w:bottom w:val="single" w:color="2E75B6" w:sz="8" w:space="8"/>
        </w:pBdr>
        <w:spacing w:after="120" w:before="400"/>
      </w:pPr>
      <w:r>
        <w:rPr>
          <w:rFonts w:ascii="Arial" w:cs="Arial" w:eastAsia="Arial" w:hAnsi="Arial"/>
          <w:b/>
          <w:bCs/>
          <w:color w:val="1F5C99"/>
          <w:sz w:val="30"/>
          <w:szCs w:val="30"/>
        </w:rPr>
        <w:t xml:space="preserve">6. About GPRI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Founder</w:t>
            </w:r>
          </w:p>
        </w:tc>
        <w:tc>
          <w:tcPr>
            <w:tcW w:type="dxa" w:w="6226"/>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Dr Boon Lay Ong, Senior Lecturer, Curtin University Perth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Scientific basis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Green Plot Ratio (Ong 2003, Landscape and Urban Planning) — 464+ citations</w:t>
            </w:r>
          </w:p>
        </w:tc>
      </w:tr>
      <w:tr>
        <w:tc>
          <w:tcPr>
            <w:tcW w:type="dxa" w:w="28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Database</w:t>
            </w:r>
          </w:p>
        </w:tc>
        <w:tc>
          <w:tcPr>
            <w:tcW w:type="dxa" w:w="6226"/>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30,000+ species, urban-calibrated LAI values, Singapore field data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Software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GPRTool — browser-based 3D urban greenery assessment platform</w:t>
            </w:r>
          </w:p>
        </w:tc>
      </w:tr>
      <w:tr>
        <w:tc>
          <w:tcPr>
            <w:tcW w:type="dxa" w:w="28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Institutional base</w:t>
            </w:r>
          </w:p>
        </w:tc>
        <w:tc>
          <w:tcPr>
            <w:tcW w:type="dxa" w:w="6226"/>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Curtin University Perth (primary); NUS Singapore (proposed affiliate)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Publication pipeline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Scientific Data (Nature Portfolio) — database descriptor in preparation</w:t>
            </w:r>
          </w:p>
        </w:tc>
      </w:tr>
      <w:tr>
        <w:tc>
          <w:tcPr>
            <w:tcW w:type="dxa" w:w="28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Governance</w:t>
            </w:r>
          </w:p>
        </w:tc>
        <w:tc>
          <w:tcPr>
            <w:tcW w:type="dxa" w:w="6226"/>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Director + Scientific Advisory Board (international recruitment underway)</w:t>
            </w:r>
          </w:p>
        </w:tc>
      </w:tr>
    </w:tbl>
    <w:p>
      <w:pPr>
        <w:spacing w:after="0" w:before="240"/>
      </w:pPr>
      <w:r>
        <w:t xml:space="preserve"/>
      </w:r>
    </w:p>
    <w:p>
      <w:pPr>
        <w:pStyle w:val="Heading1"/>
        <w:pBdr>
          <w:bottom w:val="single" w:color="2E75B6" w:sz="8" w:space="8"/>
        </w:pBdr>
        <w:spacing w:after="120" w:before="400"/>
      </w:pPr>
      <w:r>
        <w:rPr>
          <w:rFonts w:ascii="Arial" w:cs="Arial" w:eastAsia="Arial" w:hAnsi="Arial"/>
          <w:b/>
          <w:bCs/>
          <w:color w:val="1F5C99"/>
          <w:sz w:val="30"/>
          <w:szCs w:val="30"/>
        </w:rPr>
        <w:t xml:space="preserve">7. How to Proceed</w:t>
      </w:r>
    </w:p>
    <w:p>
      <w:pPr>
        <w:spacing w:after="80" w:before="80"/>
      </w:pPr>
      <w:r>
        <w:rPr>
          <w:rFonts w:ascii="Arial" w:cs="Arial" w:eastAsia="Arial" w:hAnsi="Arial"/>
          <w:color w:val="404040"/>
          <w:sz w:val="22"/>
          <w:szCs w:val="22"/>
        </w:rPr>
        <w:t xml:space="preserve">Founding Partner places are limited to five globally. The programme opens to applications from invited firms only.</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6826"/>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1. Express interest</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Contact Dr Boon Lay Ong at founder@gpri.org</w:t>
            </w:r>
          </w:p>
        </w:tc>
      </w:tr>
      <w:tr>
        <w:tc>
          <w:tcPr>
            <w:tcW w:type="dxa" w:w="22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2. Introductory meeting</w:t>
            </w:r>
          </w:p>
        </w:tc>
        <w:tc>
          <w:tcPr>
            <w:tcW w:type="dxa" w:w="6826"/>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30-minute briefing — database demonstration and Q&amp;A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3. Partnership agreement</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Standard 3-year agreement executed</w:t>
            </w:r>
          </w:p>
        </w:tc>
      </w:tr>
      <w:tr>
        <w:tc>
          <w:tcPr>
            <w:tcW w:type="dxa" w:w="22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4. Onboarding</w:t>
            </w:r>
          </w:p>
        </w:tc>
        <w:tc>
          <w:tcPr>
            <w:tcW w:type="dxa" w:w="6826"/>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r>
              <w:rPr>
                <w:rFonts w:ascii="Arial" w:cs="Arial" w:eastAsia="Arial" w:hAnsi="Arial"/>
                <w:b w:val="false"/>
                <w:bCs w:val="false"/>
                <w:color w:val="404040"/>
                <w:sz w:val="20"/>
                <w:szCs w:val="20"/>
              </w:rPr>
              <w:t xml:space="preserve">API access, GPRTool licences, and Advisory Panel induction — within 2 weeks</w:t>
            </w:r>
          </w:p>
        </w:tc>
      </w:tr>
    </w:tbl>
    <w:p>
      <w:pPr>
        <w:spacing w:after="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4"/>
              <w:bottom w:val="single" w:color="2E75B6" w:sz="4"/>
              <w:right w:val="single" w:color="2E75B6" w:sz="4"/>
            </w:tcBorders>
            <w:shd w:fill="D6E4F0" w:val="clear"/>
            <w:tcMar>
              <w:top w:type="dxa" w:w="160"/>
              <w:left w:type="dxa" w:w="200"/>
              <w:bottom w:type="dxa" w:w="160"/>
              <w:right w:type="dxa" w:w="200"/>
            </w:tcMar>
          </w:tcPr>
          <w:p>
            <w:pPr>
              <w:spacing w:after="40" w:before="80"/>
              <w:jc w:val="center"/>
            </w:pPr>
            <w:r>
              <w:rPr>
                <w:rFonts w:ascii="Arial" w:cs="Arial" w:eastAsia="Arial" w:hAnsi="Arial"/>
                <w:b/>
                <w:bCs/>
                <w:color w:val="1F5C99"/>
                <w:sz w:val="26"/>
                <w:szCs w:val="26"/>
              </w:rPr>
              <w:t xml:space="preserve">The standard is being written now.</w:t>
            </w:r>
          </w:p>
          <w:p>
            <w:pPr>
              <w:spacing w:after="40" w:before="40"/>
              <w:jc w:val="center"/>
            </w:pPr>
            <w:r>
              <w:rPr>
                <w:rFonts w:ascii="Arial" w:cs="Arial" w:eastAsia="Arial" w:hAnsi="Arial"/>
                <w:i/>
                <w:iCs/>
                <w:color w:val="404040"/>
                <w:sz w:val="22"/>
                <w:szCs w:val="22"/>
              </w:rPr>
              <w:t xml:space="preserve">Founding Partners help write it — and hold a permanent, privileged position in the global urban greenery assessment ecosystem.</w:t>
            </w:r>
          </w:p>
          <w:p>
            <w:pPr>
              <w:spacing w:after="80" w:before="40"/>
              <w:jc w:val="center"/>
            </w:pPr>
            <w:r>
              <w:rPr>
                <w:rFonts w:ascii="Arial" w:cs="Arial" w:eastAsia="Arial" w:hAnsi="Arial"/>
                <w:b/>
                <w:bCs/>
                <w:color w:val="2E75B6"/>
                <w:sz w:val="22"/>
                <w:szCs w:val="22"/>
              </w:rPr>
              <w:t xml:space="preserve">founder@gpri.org</w:t>
            </w:r>
          </w:p>
        </w:tc>
      </w:tr>
    </w:tbl>
    <w:p>
      <w:pPr>
        <w:spacing w:after="0" w:before="240"/>
      </w:pPr>
      <w:r>
        <w:t xml:space="preserve"/>
      </w:r>
    </w:p>
    <w:p>
      <w:pPr>
        <w:pBdr>
          <w:top w:val="single" w:color="1F5C99" w:sz="6" w:space="8"/>
        </w:pBdr>
        <w:spacing w:after="60" w:before="120"/>
        <w:jc w:val="center"/>
      </w:pPr>
      <w:r>
        <w:rPr>
          <w:rFonts w:ascii="Arial" w:cs="Arial" w:eastAsia="Arial" w:hAnsi="Arial"/>
          <w:color w:val="666666"/>
          <w:sz w:val="18"/>
          <w:szCs w:val="18"/>
        </w:rPr>
        <w:t xml:space="preserve">Green Plot Ratio Institute  |  gpri.org  |  Perth, Australia  |  Singapore</w:t>
      </w:r>
    </w:p>
    <w:p>
      <w:pPr>
        <w:jc w:val="center"/>
      </w:pPr>
      <w:r>
        <w:rPr>
          <w:rFonts w:ascii="Arial" w:cs="Arial" w:eastAsia="Arial" w:hAnsi="Arial"/>
          <w:i/>
          <w:iCs/>
          <w:color w:val="AAAAAA"/>
          <w:sz w:val="16"/>
          <w:szCs w:val="16"/>
        </w:rPr>
        <w:t xml:space="preserve">Confidential — For Invited Recipients Only. Not for further distribution.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5C99"/>
      <w:sz w:val="30"/>
      <w:szCs w:val="30"/>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2026-05-24T22:28:28.730Z</dcterms:created>
  <dcterms:modified xsi:type="dcterms:W3CDTF">2026-05-24T22:28:28.808Z</dcterms:modified>
</cp:coreProperties>
</file>

<file path=docProps/custom.xml><?xml version="1.0" encoding="utf-8"?>
<Properties xmlns="http://schemas.openxmlformats.org/officeDocument/2006/custom-properties" xmlns:vt="http://schemas.openxmlformats.org/officeDocument/2006/docPropsVTypes"/>
</file>