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18"/>
        </w:rPr>
      </w:pPr>
      <w:r w:rsidRPr="000C0417">
        <w:rPr>
          <w:rFonts w:ascii="微软雅黑" w:eastAsia="微软雅黑" w:hAnsi="微软雅黑" w:cs="宋体"/>
          <w:kern w:val="0"/>
          <w:sz w:val="20"/>
          <w:szCs w:val="18"/>
        </w:rPr>
        <w:t>一周宏观数据总结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7月国内的CPI数值为2.1%，高于预期，叠加今年猪周期的扭转，</w:t>
      </w:r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下半年的通胀可能迎来攀升。结合国家长期坚持的</w:t>
      </w:r>
      <w:proofErr w:type="gramStart"/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凯</w:t>
      </w:r>
      <w:proofErr w:type="gramEnd"/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恩斯主义特质，国内很可能从今年开始在未来几年迎来 滞胀 【有概率类似美国在70到79年的情况，直到里根上台的减税才释放了真正的经济</w:t>
      </w:r>
      <w:bookmarkStart w:id="0" w:name="_GoBack"/>
      <w:bookmarkEnd w:id="0"/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活力】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以美元计价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中国7月进出口增速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双双超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预期回升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。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出口同比增长12.2 %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小幅高于前值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；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进口同比增长27.3 %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几乎是前值的两倍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。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贸易顺差280.5亿美元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原本于本周公布的贷款数据，并未正式公布，但是周末央行发布了季度会议总结，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其中据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初步统计，7月新增人民币贷款1.45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万亿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元，同比多增6237亿元。指导银行按照市场化原则，保障在建项目融资需求，加大对基础设施领域补短板的金融支持。7月新增基础设施行业贷款1724亿元，较6月多增469亿元。同时，信托贷款、委托贷款等表外融资变化也趋于平缓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 xml:space="preserve">从流动性上看，本月放水明显，利率处在低位，市场上不缺资金。而且国内很可能出现无本续贷的模式【 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3月德州推行的无还本续贷业务被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《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山东新闻联播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》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点赞后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8月6日在央视新闻联播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《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稳金融提高服务实体经济能力水平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》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头条新闻中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被作为地方创新举措和生动实践予以报道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】。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美国的7月CPI数据，完全符合预期，其中核心CPI2.9%，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唯一小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超预期的数据，显示美国处于温和通胀的情况，需要关注持续性和进一步加速，美联储加息预期的概率继续上升。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日本本周的经济数据反馈了，日本的经济有所收缩，但是本月的消费意外上升，并且央行会议总结透露了日本央行内部关于宽松的程度上略有分歧，消费的意外回升会提高紧缩的一定预期。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18"/>
        </w:rPr>
      </w:pPr>
      <w:r w:rsidRPr="000C0417">
        <w:rPr>
          <w:rFonts w:ascii="微软雅黑" w:eastAsia="微软雅黑" w:hAnsi="微软雅黑" w:cs="宋体"/>
          <w:kern w:val="0"/>
          <w:sz w:val="20"/>
          <w:szCs w:val="18"/>
        </w:rPr>
        <w:t>重点数据前瞻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时间不定，国内贷款数据，欧佩克的月度原油市场报告。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周二，欧元区二季度GDP。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周三，8月纽约制造业指数，零售销售月率。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周四，费城制造业指数。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周五，欧元区7月CPI年率终值。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18"/>
        </w:rPr>
      </w:pPr>
      <w:r w:rsidRPr="000C0417">
        <w:rPr>
          <w:rFonts w:ascii="微软雅黑" w:eastAsia="微软雅黑" w:hAnsi="微软雅黑" w:cs="宋体"/>
          <w:kern w:val="0"/>
          <w:sz w:val="20"/>
          <w:szCs w:val="18"/>
        </w:rPr>
        <w:t>上周宏观事件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贸易战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  <w:t>特朗普政府7月10日晚公布了对2000亿美元中国输美产品征收10%关税的建议产品清单，理论上的公示时间是60天，也就是说这份名单可能在8月底生效。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  <w:t>8月1日，彭博传出中美可能就贸易进行谈判的消息。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  <w:t>8月2日，莱特泽尔正式宣布将税率从10%提升到25%，</w:t>
      </w:r>
      <w:r w:rsidRPr="000C0417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0C0417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包括将征收额外关税的拟议产品清单。鉴于额外关税税率可能提高至25％，书面意见征询期的结束时间从</w:t>
      </w:r>
      <w:r w:rsidRPr="000C0417">
        <w:rPr>
          <w:rFonts w:ascii="微软雅黑" w:eastAsia="微软雅黑" w:hAnsi="微软雅黑" w:cs="Arial"/>
          <w:kern w:val="0"/>
          <w:sz w:val="18"/>
          <w:szCs w:val="18"/>
        </w:rPr>
        <w:t>8月30日</w:t>
      </w:r>
      <w:r w:rsidRPr="000C0417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延长</w:t>
      </w:r>
      <w:r w:rsidRPr="000C0417">
        <w:rPr>
          <w:rFonts w:ascii="微软雅黑" w:eastAsia="微软雅黑" w:hAnsi="微软雅黑" w:cs="Arial"/>
          <w:kern w:val="0"/>
          <w:sz w:val="18"/>
          <w:szCs w:val="18"/>
        </w:rPr>
        <w:t>至9月5日</w:t>
      </w:r>
      <w:r w:rsidRPr="000C0417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，出席公众听证会的申请截止日期延长</w:t>
      </w:r>
      <w:r w:rsidRPr="000C0417">
        <w:rPr>
          <w:rFonts w:ascii="微软雅黑" w:eastAsia="微软雅黑" w:hAnsi="微软雅黑" w:cs="Arial"/>
          <w:kern w:val="0"/>
          <w:sz w:val="18"/>
          <w:szCs w:val="18"/>
        </w:rPr>
        <w:t>至8月13日</w:t>
      </w:r>
      <w:r w:rsidRPr="000C0417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8月8日，美国宣布对中国的160亿美元的商品在8月23日开始征收。次日，中国宣布同等规模的关税也将在8月23日开始实行。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lastRenderedPageBreak/>
        <w:t>中东危机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【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土耳其爆发全面金融危机 程度类似于98年亚洲金融风暴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】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在美上市</w:t>
      </w:r>
      <w:proofErr w:type="spell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iShares</w:t>
      </w:r>
      <w:proofErr w:type="spellEnd"/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安硕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MSCI土耳其ETF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收跌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14.49%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报21.44美元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创2009年3月19日以来收盘新低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。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土耳其10年期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（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本币里拉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）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国债收益率涨至22.11%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创历史新高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。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今年迄今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里拉兑美元已下挫逾40%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。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彭博社称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土耳其爆发出新兴市场历史上最为糟糕的危机之一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鲜有迹象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表明形势将何去何从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其程度甚于雷曼危机</w:t>
      </w:r>
      <w:r w:rsidRPr="000C0417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，</w:t>
      </w: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甚至类似于1998年亚洲金融风暴。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周五美国宣布对土耳其进行经济制裁，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钢铝关税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都直接加倍。土耳其总统号召民众支持国家。今年以来土耳其的汇率贬值过多，叠加的核心问题是土耳其自身的美元债【各种国际债务，尤其欠欧洲银行的债务】超标，因此在面临汇率大幅贬值的情况下，还债就成了核心问题，和当年希腊危机，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欧猪危机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的债务危机本质一样，政府债务面临无法偿还的可能性，面临新债务无法偿还的困局。【土耳其是中东第一军事强国，支持叙利亚的反政府军，和俄罗斯类似，亦敌亦友】。所以下周需要额外担心类似当年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欧债危机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的情况，当年</w:t>
      </w:r>
      <w:proofErr w:type="gramStart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欧债危机</w:t>
      </w:r>
      <w:proofErr w:type="gramEnd"/>
      <w:r w:rsidRPr="000C0417">
        <w:rPr>
          <w:rFonts w:ascii="微软雅黑" w:eastAsia="微软雅黑" w:hAnsi="微软雅黑" w:cs="宋体"/>
          <w:color w:val="33353C"/>
          <w:kern w:val="0"/>
          <w:sz w:val="18"/>
          <w:szCs w:val="18"/>
        </w:rPr>
        <w:t>就是从希腊发酵，时间点恰恰是在2011年3月开始蔓延，并且在11月时达到高峰。</w:t>
      </w:r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【土耳其2017年的GDP 8500亿美元，2017年外债4500亿美元，GDP增长7.4%，当年希腊是2400亿美元】。土耳其很可能今年和阿根廷一样，汇率存在继续贬值的可能性，贬值之后的土耳其的债务杠杆可能接近70%（去年已经达到53%），世界上认为的红线是20%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下周关注土耳其的国债是否存在被降级的风险，以及土耳其的债务危机是否可能迎来外援。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国内政策说明：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【银保监会：加强监管引领 打通货币政策传导机制】引导银行保险机构加大资金投放力度，保障实体经济有效融资需求。指导银行保险机构准确把握促进经济增长与防控风险的关系，正确理解监管政策意图，充分利用当前流动性充裕、融资成本稳中有降的有利条件，加大信贷投放力度，扩大对实体经济融资支持。近期贷款投放明显加快。据初步统计，7月新增人民币贷款1.45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万亿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元，同比多增6237亿元。指导银行按照市场化原则，保障在建项目融资需求，加大对基础设施领域补短板的金融支持。7月新增基础设施行业贷款1724亿元，较6月多增469亿元。同时，信托贷款、委托贷款等表外融资变化也趋于平缓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【银保监会：落实无还本续贷 提高小微企业贷款不良容忍度】着力缓解小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微企业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融资难融资贵问题，优化小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微金融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服务监管考核办法，加强贷款成本和贷款投放监测考核，落实无还本续贷、尽职免责等监管政策，提高小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微企业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贷款不良容忍度，有效发挥监管考核“指挥棒”的激励作用。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国内放水明显，资金是非常宽裕的。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18"/>
        </w:rPr>
      </w:pPr>
      <w:r w:rsidRPr="000C0417">
        <w:rPr>
          <w:rFonts w:ascii="微软雅黑" w:eastAsia="微软雅黑" w:hAnsi="微软雅黑" w:cs="宋体"/>
          <w:kern w:val="0"/>
          <w:sz w:val="20"/>
          <w:szCs w:val="18"/>
        </w:rPr>
        <w:t>下周重要事件和信息：</w:t>
      </w:r>
    </w:p>
    <w:p w:rsidR="000C0417" w:rsidRPr="000C0417" w:rsidRDefault="000C0417" w:rsidP="000C041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C0417">
        <w:rPr>
          <w:rFonts w:ascii="微软雅黑" w:eastAsia="微软雅黑" w:hAnsi="微软雅黑" w:cs="宋体"/>
          <w:kern w:val="0"/>
          <w:sz w:val="18"/>
          <w:szCs w:val="18"/>
        </w:rPr>
        <w:t>国内A股和港股进入</w:t>
      </w:r>
      <w:proofErr w:type="gramStart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财报季</w:t>
      </w:r>
      <w:proofErr w:type="gramEnd"/>
      <w:r w:rsidRPr="000C0417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365683" w:rsidRPr="000C0417" w:rsidRDefault="00365683">
      <w:pPr>
        <w:rPr>
          <w:rFonts w:ascii="微软雅黑" w:eastAsia="微软雅黑" w:hAnsi="微软雅黑"/>
          <w:sz w:val="18"/>
          <w:szCs w:val="18"/>
        </w:rPr>
      </w:pPr>
    </w:p>
    <w:sectPr w:rsidR="00365683" w:rsidRPr="000C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17"/>
    <w:rsid w:val="000C0417"/>
    <w:rsid w:val="0036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ED56-9E1C-403C-BAB2-67E3DF5B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0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>Microsoft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willyjiang(姜巍)</dc:creator>
  <cp:keywords/>
  <dc:description/>
  <cp:lastModifiedBy>willyjiang(姜巍)</cp:lastModifiedBy>
  <cp:revision>1</cp:revision>
  <dcterms:created xsi:type="dcterms:W3CDTF">2018-08-11T14:20:00Z</dcterms:created>
  <dcterms:modified xsi:type="dcterms:W3CDTF">2018-08-11T14:21:00Z</dcterms:modified>
</cp:coreProperties>
</file>