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1340" w14:textId="77777777" w:rsidR="00E0440B" w:rsidRDefault="0087698D">
      <w:pPr>
        <w:pStyle w:val="Title"/>
      </w:pPr>
      <w:r>
        <w:t>AGO Data Challenge</w:t>
      </w:r>
    </w:p>
    <w:p w14:paraId="2F121D37" w14:textId="71A5F31D" w:rsidR="00FC615D" w:rsidRPr="00FC615D" w:rsidRDefault="00FC615D" w:rsidP="00FC615D">
      <w:pPr>
        <w:pStyle w:val="Author"/>
      </w:pPr>
      <w:r>
        <w:t>BNO Analytics</w:t>
      </w:r>
    </w:p>
    <w:p w14:paraId="33401342" w14:textId="433A913D" w:rsidR="00E0440B" w:rsidRDefault="006063AC">
      <w:pPr>
        <w:pStyle w:val="Date"/>
      </w:pPr>
      <w:r>
        <w:t>Team Members: Benjamin Ng, Nicholas Chung, Owen Tan</w:t>
      </w:r>
    </w:p>
    <w:p w14:paraId="3340134C" w14:textId="77777777" w:rsidR="00E0440B" w:rsidRDefault="0087698D">
      <w:pPr>
        <w:pStyle w:val="Heading1"/>
      </w:pPr>
      <w:bookmarkStart w:id="0" w:name="anomaly-finding"/>
      <w:r>
        <w:t>Anomaly Finding</w:t>
      </w:r>
    </w:p>
    <w:p w14:paraId="3340134D" w14:textId="77777777" w:rsidR="00E0440B" w:rsidRDefault="0087698D">
      <w:pPr>
        <w:pStyle w:val="Heading2"/>
      </w:pPr>
      <w:bookmarkStart w:id="1" w:name="checking-the-validity-of-dates"/>
      <w:r>
        <w:t>Checking the Validity of Dates</w:t>
      </w:r>
    </w:p>
    <w:p w14:paraId="3340134E" w14:textId="77777777" w:rsidR="00E0440B" w:rsidRDefault="0087698D">
      <w:pPr>
        <w:pStyle w:val="FirstParagraph"/>
      </w:pPr>
      <w:r>
        <w:t>There is 1 row, SN 1 that had its procurement date before 2017.</w:t>
      </w:r>
    </w:p>
    <w:tbl>
      <w:tblPr>
        <w:tblStyle w:val="TableGrid"/>
        <w:tblW w:w="0" w:type="auto"/>
        <w:tblLook w:val="04A0" w:firstRow="1" w:lastRow="0" w:firstColumn="1" w:lastColumn="0" w:noHBand="0" w:noVBand="1"/>
      </w:tblPr>
      <w:tblGrid>
        <w:gridCol w:w="982"/>
        <w:gridCol w:w="1305"/>
        <w:gridCol w:w="1061"/>
        <w:gridCol w:w="1305"/>
        <w:gridCol w:w="1410"/>
        <w:gridCol w:w="1056"/>
        <w:gridCol w:w="1305"/>
        <w:gridCol w:w="1152"/>
      </w:tblGrid>
      <w:tr w:rsidR="00B50027" w14:paraId="7CDC984D" w14:textId="77777777" w:rsidTr="00B50027">
        <w:tc>
          <w:tcPr>
            <w:tcW w:w="1197" w:type="dxa"/>
          </w:tcPr>
          <w:p w14:paraId="5837472A" w14:textId="2C750280" w:rsidR="00B50027" w:rsidRDefault="00B50027" w:rsidP="00B50027">
            <w:pPr>
              <w:pStyle w:val="BodyText"/>
            </w:pPr>
            <w:r>
              <w:rPr>
                <w:rStyle w:val="VerbatimChar"/>
              </w:rPr>
              <w:t xml:space="preserve">SN        </w:t>
            </w:r>
          </w:p>
        </w:tc>
        <w:tc>
          <w:tcPr>
            <w:tcW w:w="1197" w:type="dxa"/>
          </w:tcPr>
          <w:p w14:paraId="5BB1ED53" w14:textId="204242C9" w:rsidR="00B50027" w:rsidRDefault="00B50027" w:rsidP="00B50027">
            <w:pPr>
              <w:pStyle w:val="BodyText"/>
            </w:pPr>
            <w:r>
              <w:t>Code</w:t>
            </w:r>
          </w:p>
        </w:tc>
        <w:tc>
          <w:tcPr>
            <w:tcW w:w="1197" w:type="dxa"/>
          </w:tcPr>
          <w:p w14:paraId="53EA658A" w14:textId="595E5EB0" w:rsidR="00B50027" w:rsidRDefault="00B50027" w:rsidP="00B50027">
            <w:pPr>
              <w:pStyle w:val="BodyText"/>
            </w:pPr>
            <w:r>
              <w:t>Type</w:t>
            </w:r>
          </w:p>
        </w:tc>
        <w:tc>
          <w:tcPr>
            <w:tcW w:w="1197" w:type="dxa"/>
          </w:tcPr>
          <w:p w14:paraId="6246378C" w14:textId="316E4F47" w:rsidR="00B50027" w:rsidRDefault="00B50027" w:rsidP="00B50027">
            <w:pPr>
              <w:pStyle w:val="BodyText"/>
            </w:pPr>
            <w:r>
              <w:t>Agency</w:t>
            </w:r>
          </w:p>
        </w:tc>
        <w:tc>
          <w:tcPr>
            <w:tcW w:w="1197" w:type="dxa"/>
          </w:tcPr>
          <w:p w14:paraId="3ACDDC96" w14:textId="080491AB" w:rsidR="00B50027" w:rsidRDefault="00B50027" w:rsidP="00B50027">
            <w:pPr>
              <w:pStyle w:val="BodyText"/>
            </w:pPr>
            <w:r>
              <w:t>Description</w:t>
            </w:r>
          </w:p>
        </w:tc>
        <w:tc>
          <w:tcPr>
            <w:tcW w:w="1197" w:type="dxa"/>
          </w:tcPr>
          <w:p w14:paraId="06944175" w14:textId="75119043" w:rsidR="00B50027" w:rsidRDefault="00B50027" w:rsidP="00B50027">
            <w:pPr>
              <w:pStyle w:val="BodyText"/>
            </w:pPr>
            <w:r>
              <w:t>Date</w:t>
            </w:r>
          </w:p>
        </w:tc>
        <w:tc>
          <w:tcPr>
            <w:tcW w:w="1197" w:type="dxa"/>
          </w:tcPr>
          <w:p w14:paraId="009FEC9D" w14:textId="0BBCEBD0" w:rsidR="00B50027" w:rsidRDefault="00B50027" w:rsidP="00B50027">
            <w:pPr>
              <w:pStyle w:val="BodyText"/>
            </w:pPr>
            <w:r>
              <w:t>Supplier</w:t>
            </w:r>
          </w:p>
        </w:tc>
        <w:tc>
          <w:tcPr>
            <w:tcW w:w="1197" w:type="dxa"/>
          </w:tcPr>
          <w:p w14:paraId="124504FA" w14:textId="401CD06F" w:rsidR="00B50027" w:rsidRDefault="00B50027" w:rsidP="00B50027">
            <w:pPr>
              <w:pStyle w:val="BodyText"/>
            </w:pPr>
            <w:r>
              <w:t>Amount</w:t>
            </w:r>
          </w:p>
        </w:tc>
      </w:tr>
      <w:tr w:rsidR="00B50027" w14:paraId="50EAE412" w14:textId="77777777" w:rsidTr="00B50027">
        <w:tc>
          <w:tcPr>
            <w:tcW w:w="1197" w:type="dxa"/>
          </w:tcPr>
          <w:p w14:paraId="35CBB121" w14:textId="1FEDA99D" w:rsidR="00B50027" w:rsidRPr="00BB1862" w:rsidRDefault="00B50027" w:rsidP="00B50027">
            <w:pPr>
              <w:pStyle w:val="BodyText"/>
              <w:rPr>
                <w:rFonts w:ascii="Consolas" w:hAnsi="Consolas"/>
                <w:sz w:val="18"/>
                <w:szCs w:val="18"/>
              </w:rPr>
            </w:pPr>
            <w:r w:rsidRPr="00BB1862">
              <w:rPr>
                <w:rFonts w:ascii="Consolas" w:hAnsi="Consolas"/>
                <w:sz w:val="18"/>
                <w:szCs w:val="18"/>
              </w:rPr>
              <w:t>1</w:t>
            </w:r>
          </w:p>
        </w:tc>
        <w:tc>
          <w:tcPr>
            <w:tcW w:w="1197" w:type="dxa"/>
          </w:tcPr>
          <w:p w14:paraId="6257177A" w14:textId="36FB9C76" w:rsidR="00B50027" w:rsidRPr="00BB1862" w:rsidRDefault="00B50027" w:rsidP="00B50027">
            <w:pPr>
              <w:pStyle w:val="BodyText"/>
              <w:rPr>
                <w:rFonts w:ascii="Consolas" w:hAnsi="Consolas"/>
                <w:sz w:val="18"/>
                <w:szCs w:val="18"/>
              </w:rPr>
            </w:pPr>
            <w:r w:rsidRPr="00BB1862">
              <w:rPr>
                <w:rStyle w:val="VerbatimChar"/>
                <w:sz w:val="18"/>
                <w:szCs w:val="18"/>
              </w:rPr>
              <w:t>ITQ20160157</w:t>
            </w:r>
          </w:p>
        </w:tc>
        <w:tc>
          <w:tcPr>
            <w:tcW w:w="1197" w:type="dxa"/>
          </w:tcPr>
          <w:p w14:paraId="422C9104" w14:textId="047DF550" w:rsidR="00B50027" w:rsidRPr="00BB1862" w:rsidRDefault="00B50027" w:rsidP="00B50027">
            <w:pPr>
              <w:pStyle w:val="BodyText"/>
              <w:rPr>
                <w:rFonts w:ascii="Consolas" w:hAnsi="Consolas"/>
                <w:sz w:val="18"/>
                <w:szCs w:val="18"/>
              </w:rPr>
            </w:pPr>
            <w:r w:rsidRPr="00BB1862">
              <w:rPr>
                <w:rFonts w:ascii="Consolas" w:hAnsi="Consolas"/>
                <w:sz w:val="18"/>
                <w:szCs w:val="18"/>
              </w:rPr>
              <w:t>ITQ</w:t>
            </w:r>
          </w:p>
        </w:tc>
        <w:tc>
          <w:tcPr>
            <w:tcW w:w="1197" w:type="dxa"/>
          </w:tcPr>
          <w:p w14:paraId="42C41D4C" w14:textId="39A7F63B" w:rsidR="00B50027" w:rsidRPr="00BB1862" w:rsidRDefault="00B50027" w:rsidP="00B50027">
            <w:pPr>
              <w:pStyle w:val="BodyText"/>
              <w:rPr>
                <w:rFonts w:ascii="Consolas" w:hAnsi="Consolas"/>
                <w:sz w:val="18"/>
                <w:szCs w:val="18"/>
              </w:rPr>
            </w:pPr>
            <w:r w:rsidRPr="00BB1862">
              <w:rPr>
                <w:rStyle w:val="VerbatimChar"/>
                <w:sz w:val="18"/>
                <w:szCs w:val="18"/>
              </w:rPr>
              <w:t>National Institute of Scientific Advancement</w:t>
            </w:r>
          </w:p>
        </w:tc>
        <w:tc>
          <w:tcPr>
            <w:tcW w:w="1197" w:type="dxa"/>
          </w:tcPr>
          <w:p w14:paraId="78A4B416" w14:textId="207B0791" w:rsidR="00B50027" w:rsidRPr="00BB1862" w:rsidRDefault="00B50027" w:rsidP="00B50027">
            <w:pPr>
              <w:pStyle w:val="BodyText"/>
              <w:rPr>
                <w:rFonts w:ascii="Consolas" w:hAnsi="Consolas"/>
                <w:sz w:val="18"/>
                <w:szCs w:val="18"/>
              </w:rPr>
            </w:pPr>
            <w:r w:rsidRPr="00BB1862">
              <w:rPr>
                <w:rStyle w:val="VerbatimChar"/>
                <w:sz w:val="18"/>
                <w:szCs w:val="18"/>
              </w:rPr>
              <w:t>Parking management and traffic control solutions.</w:t>
            </w:r>
          </w:p>
        </w:tc>
        <w:tc>
          <w:tcPr>
            <w:tcW w:w="1197" w:type="dxa"/>
          </w:tcPr>
          <w:p w14:paraId="619DBB22" w14:textId="137833F2" w:rsidR="00B50027" w:rsidRPr="00BB1862" w:rsidRDefault="00B50027" w:rsidP="00B50027">
            <w:pPr>
              <w:pStyle w:val="BodyText"/>
              <w:rPr>
                <w:rFonts w:ascii="Consolas" w:hAnsi="Consolas"/>
                <w:sz w:val="18"/>
                <w:szCs w:val="18"/>
              </w:rPr>
            </w:pPr>
            <w:r w:rsidRPr="00BB1862">
              <w:rPr>
                <w:rStyle w:val="VerbatimChar"/>
                <w:sz w:val="18"/>
                <w:szCs w:val="18"/>
              </w:rPr>
              <w:t>2016-07-01</w:t>
            </w:r>
          </w:p>
        </w:tc>
        <w:tc>
          <w:tcPr>
            <w:tcW w:w="1197" w:type="dxa"/>
          </w:tcPr>
          <w:p w14:paraId="7B20ED07" w14:textId="14001E89" w:rsidR="00B50027" w:rsidRPr="00BB1862" w:rsidRDefault="00B50027" w:rsidP="00B50027">
            <w:pPr>
              <w:pStyle w:val="BodyText"/>
              <w:rPr>
                <w:rFonts w:ascii="Consolas" w:hAnsi="Consolas"/>
                <w:sz w:val="18"/>
                <w:szCs w:val="18"/>
              </w:rPr>
            </w:pPr>
            <w:proofErr w:type="spellStart"/>
            <w:r w:rsidRPr="00BB1862">
              <w:rPr>
                <w:rStyle w:val="VerbatimChar"/>
                <w:sz w:val="18"/>
                <w:szCs w:val="18"/>
              </w:rPr>
              <w:t>SafeHaven</w:t>
            </w:r>
            <w:proofErr w:type="spellEnd"/>
            <w:r w:rsidRPr="00BB1862">
              <w:rPr>
                <w:rStyle w:val="VerbatimChar"/>
                <w:sz w:val="18"/>
                <w:szCs w:val="18"/>
              </w:rPr>
              <w:t xml:space="preserve"> Maintenance</w:t>
            </w:r>
          </w:p>
        </w:tc>
        <w:tc>
          <w:tcPr>
            <w:tcW w:w="1197" w:type="dxa"/>
          </w:tcPr>
          <w:p w14:paraId="3932120A" w14:textId="00DE9302" w:rsidR="00B50027" w:rsidRPr="00BB1862" w:rsidRDefault="00B50027" w:rsidP="00B50027">
            <w:pPr>
              <w:pStyle w:val="BodyText"/>
              <w:rPr>
                <w:rFonts w:ascii="Consolas" w:hAnsi="Consolas"/>
                <w:sz w:val="18"/>
                <w:szCs w:val="18"/>
              </w:rPr>
            </w:pPr>
            <w:r w:rsidRPr="00BB1862">
              <w:rPr>
                <w:rStyle w:val="VerbatimChar"/>
                <w:sz w:val="18"/>
                <w:szCs w:val="18"/>
              </w:rPr>
              <w:t>40532</w:t>
            </w:r>
          </w:p>
        </w:tc>
      </w:tr>
    </w:tbl>
    <w:p w14:paraId="33401350" w14:textId="77777777" w:rsidR="00E0440B" w:rsidRDefault="0087698D">
      <w:pPr>
        <w:pStyle w:val="FirstParagraph"/>
      </w:pPr>
      <w:r>
        <w:t>There are 2 rows, SN6999 and SN7000 that have their procurement dates in 2023 and 2024 respectively.</w:t>
      </w:r>
    </w:p>
    <w:tbl>
      <w:tblPr>
        <w:tblStyle w:val="TableGrid"/>
        <w:tblW w:w="0" w:type="auto"/>
        <w:tblLook w:val="04A0" w:firstRow="1" w:lastRow="0" w:firstColumn="1" w:lastColumn="0" w:noHBand="0" w:noVBand="1"/>
      </w:tblPr>
      <w:tblGrid>
        <w:gridCol w:w="1046"/>
        <w:gridCol w:w="1305"/>
        <w:gridCol w:w="1076"/>
        <w:gridCol w:w="1305"/>
        <w:gridCol w:w="1410"/>
        <w:gridCol w:w="1071"/>
        <w:gridCol w:w="1206"/>
        <w:gridCol w:w="1157"/>
      </w:tblGrid>
      <w:tr w:rsidR="00223F4B" w14:paraId="28A257E2" w14:textId="77777777" w:rsidTr="00223F4B">
        <w:tc>
          <w:tcPr>
            <w:tcW w:w="1197" w:type="dxa"/>
          </w:tcPr>
          <w:p w14:paraId="4E9729C9" w14:textId="605E424E" w:rsidR="00223F4B" w:rsidRDefault="00223F4B" w:rsidP="00223F4B">
            <w:pPr>
              <w:pStyle w:val="BodyText"/>
            </w:pPr>
            <w:r>
              <w:rPr>
                <w:rStyle w:val="VerbatimChar"/>
              </w:rPr>
              <w:t xml:space="preserve">SN        </w:t>
            </w:r>
          </w:p>
        </w:tc>
        <w:tc>
          <w:tcPr>
            <w:tcW w:w="1197" w:type="dxa"/>
          </w:tcPr>
          <w:p w14:paraId="182AD279" w14:textId="1B228228" w:rsidR="00223F4B" w:rsidRDefault="00223F4B" w:rsidP="00223F4B">
            <w:pPr>
              <w:pStyle w:val="BodyText"/>
            </w:pPr>
            <w:r>
              <w:t>Code</w:t>
            </w:r>
          </w:p>
        </w:tc>
        <w:tc>
          <w:tcPr>
            <w:tcW w:w="1197" w:type="dxa"/>
          </w:tcPr>
          <w:p w14:paraId="3DD92640" w14:textId="15E7E784" w:rsidR="00223F4B" w:rsidRDefault="00223F4B" w:rsidP="00223F4B">
            <w:pPr>
              <w:pStyle w:val="BodyText"/>
            </w:pPr>
            <w:r>
              <w:t>Type</w:t>
            </w:r>
          </w:p>
        </w:tc>
        <w:tc>
          <w:tcPr>
            <w:tcW w:w="1197" w:type="dxa"/>
          </w:tcPr>
          <w:p w14:paraId="4E9D4B3A" w14:textId="7CA96228" w:rsidR="00223F4B" w:rsidRDefault="00223F4B" w:rsidP="00223F4B">
            <w:pPr>
              <w:pStyle w:val="BodyText"/>
            </w:pPr>
            <w:r>
              <w:t>Agency</w:t>
            </w:r>
          </w:p>
        </w:tc>
        <w:tc>
          <w:tcPr>
            <w:tcW w:w="1197" w:type="dxa"/>
          </w:tcPr>
          <w:p w14:paraId="035BD215" w14:textId="09278302" w:rsidR="00223F4B" w:rsidRDefault="00223F4B" w:rsidP="00223F4B">
            <w:pPr>
              <w:pStyle w:val="BodyText"/>
            </w:pPr>
            <w:r>
              <w:t>Description</w:t>
            </w:r>
          </w:p>
        </w:tc>
        <w:tc>
          <w:tcPr>
            <w:tcW w:w="1197" w:type="dxa"/>
          </w:tcPr>
          <w:p w14:paraId="74971338" w14:textId="4BD99B8C" w:rsidR="00223F4B" w:rsidRDefault="00223F4B" w:rsidP="00223F4B">
            <w:pPr>
              <w:pStyle w:val="BodyText"/>
            </w:pPr>
            <w:r>
              <w:t>Date</w:t>
            </w:r>
          </w:p>
        </w:tc>
        <w:tc>
          <w:tcPr>
            <w:tcW w:w="1197" w:type="dxa"/>
          </w:tcPr>
          <w:p w14:paraId="62C92FE5" w14:textId="7631300F" w:rsidR="00223F4B" w:rsidRDefault="00223F4B" w:rsidP="00223F4B">
            <w:pPr>
              <w:pStyle w:val="BodyText"/>
            </w:pPr>
            <w:r>
              <w:t>Supplier</w:t>
            </w:r>
          </w:p>
        </w:tc>
        <w:tc>
          <w:tcPr>
            <w:tcW w:w="1197" w:type="dxa"/>
          </w:tcPr>
          <w:p w14:paraId="5B3F5B67" w14:textId="580DA65C" w:rsidR="00223F4B" w:rsidRDefault="00223F4B" w:rsidP="00223F4B">
            <w:pPr>
              <w:pStyle w:val="BodyText"/>
            </w:pPr>
            <w:r>
              <w:t>Amount</w:t>
            </w:r>
          </w:p>
        </w:tc>
      </w:tr>
      <w:tr w:rsidR="00223F4B" w14:paraId="64D59E86" w14:textId="77777777" w:rsidTr="00223F4B">
        <w:tc>
          <w:tcPr>
            <w:tcW w:w="1197" w:type="dxa"/>
          </w:tcPr>
          <w:p w14:paraId="77124E4B" w14:textId="088A5435" w:rsidR="00223F4B" w:rsidRPr="00BB1862" w:rsidRDefault="00223F4B" w:rsidP="00223F4B">
            <w:pPr>
              <w:pStyle w:val="BodyText"/>
              <w:rPr>
                <w:rFonts w:ascii="Consolas" w:hAnsi="Consolas"/>
                <w:sz w:val="18"/>
                <w:szCs w:val="18"/>
              </w:rPr>
            </w:pPr>
            <w:r w:rsidRPr="00BB1862">
              <w:rPr>
                <w:rFonts w:ascii="Consolas" w:hAnsi="Consolas"/>
                <w:sz w:val="18"/>
                <w:szCs w:val="18"/>
              </w:rPr>
              <w:t>6999</w:t>
            </w:r>
          </w:p>
        </w:tc>
        <w:tc>
          <w:tcPr>
            <w:tcW w:w="1197" w:type="dxa"/>
          </w:tcPr>
          <w:p w14:paraId="1452813E" w14:textId="0B0E79F1" w:rsidR="00223F4B" w:rsidRPr="00BB1862" w:rsidRDefault="00223F4B" w:rsidP="00223F4B">
            <w:pPr>
              <w:pStyle w:val="BodyText"/>
              <w:rPr>
                <w:rFonts w:ascii="Consolas" w:hAnsi="Consolas"/>
                <w:sz w:val="18"/>
                <w:szCs w:val="18"/>
              </w:rPr>
            </w:pPr>
            <w:r w:rsidRPr="00BB1862">
              <w:rPr>
                <w:rStyle w:val="VerbatimChar"/>
                <w:sz w:val="18"/>
                <w:szCs w:val="18"/>
              </w:rPr>
              <w:t>ITT20230691</w:t>
            </w:r>
          </w:p>
        </w:tc>
        <w:tc>
          <w:tcPr>
            <w:tcW w:w="1197" w:type="dxa"/>
          </w:tcPr>
          <w:p w14:paraId="3C34F3E0" w14:textId="31FE63F6" w:rsidR="00223F4B" w:rsidRPr="00BB1862" w:rsidRDefault="00223F4B" w:rsidP="00223F4B">
            <w:pPr>
              <w:pStyle w:val="BodyText"/>
              <w:rPr>
                <w:rFonts w:ascii="Consolas" w:hAnsi="Consolas"/>
                <w:sz w:val="18"/>
                <w:szCs w:val="18"/>
              </w:rPr>
            </w:pPr>
            <w:r w:rsidRPr="00BB1862">
              <w:rPr>
                <w:rFonts w:ascii="Consolas" w:hAnsi="Consolas"/>
                <w:sz w:val="18"/>
                <w:szCs w:val="18"/>
              </w:rPr>
              <w:t>ITT</w:t>
            </w:r>
          </w:p>
        </w:tc>
        <w:tc>
          <w:tcPr>
            <w:tcW w:w="1197" w:type="dxa"/>
          </w:tcPr>
          <w:p w14:paraId="567CB5BC" w14:textId="56A9123F" w:rsidR="00223F4B" w:rsidRPr="00BB1862" w:rsidRDefault="00D00F12" w:rsidP="00223F4B">
            <w:pPr>
              <w:pStyle w:val="BodyText"/>
              <w:rPr>
                <w:rFonts w:ascii="Consolas" w:hAnsi="Consolas"/>
                <w:sz w:val="18"/>
                <w:szCs w:val="18"/>
              </w:rPr>
            </w:pPr>
            <w:r w:rsidRPr="00BB1862">
              <w:rPr>
                <w:rStyle w:val="VerbatimChar"/>
                <w:sz w:val="18"/>
                <w:szCs w:val="18"/>
              </w:rPr>
              <w:t>National Institute of Scientific Advancement</w:t>
            </w:r>
          </w:p>
        </w:tc>
        <w:tc>
          <w:tcPr>
            <w:tcW w:w="1197" w:type="dxa"/>
          </w:tcPr>
          <w:p w14:paraId="0954D394" w14:textId="1BA2D66D" w:rsidR="00223F4B" w:rsidRPr="00BB1862" w:rsidRDefault="00D00F12" w:rsidP="00223F4B">
            <w:pPr>
              <w:pStyle w:val="BodyText"/>
              <w:rPr>
                <w:rFonts w:ascii="Consolas" w:hAnsi="Consolas"/>
                <w:sz w:val="18"/>
                <w:szCs w:val="18"/>
              </w:rPr>
            </w:pPr>
            <w:r w:rsidRPr="00BB1862">
              <w:rPr>
                <w:rStyle w:val="VerbatimChar"/>
                <w:sz w:val="18"/>
                <w:szCs w:val="18"/>
              </w:rPr>
              <w:t>Fire safety system installation and maintenance.</w:t>
            </w:r>
          </w:p>
        </w:tc>
        <w:tc>
          <w:tcPr>
            <w:tcW w:w="1197" w:type="dxa"/>
          </w:tcPr>
          <w:p w14:paraId="164585EC" w14:textId="545EABC4" w:rsidR="00223F4B" w:rsidRPr="00BB1862" w:rsidRDefault="00D00F12" w:rsidP="00223F4B">
            <w:pPr>
              <w:pStyle w:val="BodyText"/>
              <w:rPr>
                <w:rFonts w:ascii="Consolas" w:hAnsi="Consolas"/>
                <w:sz w:val="18"/>
                <w:szCs w:val="18"/>
              </w:rPr>
            </w:pPr>
            <w:r w:rsidRPr="00BB1862">
              <w:rPr>
                <w:rStyle w:val="VerbatimChar"/>
                <w:sz w:val="18"/>
                <w:szCs w:val="18"/>
              </w:rPr>
              <w:t>2023-08-15</w:t>
            </w:r>
          </w:p>
        </w:tc>
        <w:tc>
          <w:tcPr>
            <w:tcW w:w="1197" w:type="dxa"/>
          </w:tcPr>
          <w:p w14:paraId="042F6835" w14:textId="3DDFD673" w:rsidR="00223F4B" w:rsidRPr="00BB1862" w:rsidRDefault="00D941E5" w:rsidP="00223F4B">
            <w:pPr>
              <w:pStyle w:val="BodyText"/>
              <w:rPr>
                <w:rFonts w:ascii="Consolas" w:hAnsi="Consolas"/>
                <w:sz w:val="18"/>
                <w:szCs w:val="18"/>
              </w:rPr>
            </w:pPr>
            <w:proofErr w:type="spellStart"/>
            <w:r w:rsidRPr="00BB1862">
              <w:rPr>
                <w:rStyle w:val="VerbatimChar"/>
                <w:sz w:val="18"/>
                <w:szCs w:val="18"/>
              </w:rPr>
              <w:t>CleanSweep</w:t>
            </w:r>
            <w:proofErr w:type="spellEnd"/>
            <w:r w:rsidRPr="00BB1862">
              <w:rPr>
                <w:rStyle w:val="VerbatimChar"/>
                <w:sz w:val="18"/>
                <w:szCs w:val="18"/>
              </w:rPr>
              <w:t xml:space="preserve"> Property Management</w:t>
            </w:r>
          </w:p>
        </w:tc>
        <w:tc>
          <w:tcPr>
            <w:tcW w:w="1197" w:type="dxa"/>
          </w:tcPr>
          <w:p w14:paraId="29BD78F2" w14:textId="23AA3E9E" w:rsidR="00223F4B" w:rsidRPr="00BB1862" w:rsidRDefault="00D941E5" w:rsidP="00223F4B">
            <w:pPr>
              <w:pStyle w:val="BodyText"/>
              <w:rPr>
                <w:rFonts w:ascii="Consolas" w:hAnsi="Consolas"/>
                <w:sz w:val="18"/>
                <w:szCs w:val="18"/>
              </w:rPr>
            </w:pPr>
            <w:r w:rsidRPr="00BB1862">
              <w:rPr>
                <w:rStyle w:val="VerbatimChar"/>
                <w:sz w:val="18"/>
                <w:szCs w:val="18"/>
              </w:rPr>
              <w:t>295089</w:t>
            </w:r>
            <w:r w:rsidRPr="00BB1862">
              <w:rPr>
                <w:rFonts w:ascii="Consolas" w:hAnsi="Consolas"/>
                <w:sz w:val="18"/>
                <w:szCs w:val="18"/>
              </w:rPr>
              <w:br/>
            </w:r>
          </w:p>
        </w:tc>
      </w:tr>
      <w:tr w:rsidR="00223F4B" w14:paraId="7658D0D7" w14:textId="77777777" w:rsidTr="00223F4B">
        <w:tc>
          <w:tcPr>
            <w:tcW w:w="1197" w:type="dxa"/>
          </w:tcPr>
          <w:p w14:paraId="722F66E0" w14:textId="004DED02" w:rsidR="00223F4B" w:rsidRPr="00BB1862" w:rsidRDefault="00223F4B" w:rsidP="00223F4B">
            <w:pPr>
              <w:pStyle w:val="BodyText"/>
              <w:rPr>
                <w:rFonts w:ascii="Consolas" w:hAnsi="Consolas"/>
                <w:sz w:val="18"/>
                <w:szCs w:val="18"/>
              </w:rPr>
            </w:pPr>
            <w:r w:rsidRPr="00BB1862">
              <w:rPr>
                <w:rFonts w:ascii="Consolas" w:hAnsi="Consolas"/>
                <w:sz w:val="18"/>
                <w:szCs w:val="18"/>
              </w:rPr>
              <w:t>7000</w:t>
            </w:r>
          </w:p>
        </w:tc>
        <w:tc>
          <w:tcPr>
            <w:tcW w:w="1197" w:type="dxa"/>
          </w:tcPr>
          <w:p w14:paraId="1F8A844E" w14:textId="6BEBE8DF" w:rsidR="00223F4B" w:rsidRPr="00BB1862" w:rsidRDefault="00223F4B" w:rsidP="00223F4B">
            <w:pPr>
              <w:pStyle w:val="BodyText"/>
              <w:rPr>
                <w:rFonts w:ascii="Consolas" w:hAnsi="Consolas"/>
                <w:sz w:val="18"/>
                <w:szCs w:val="18"/>
              </w:rPr>
            </w:pPr>
            <w:r w:rsidRPr="00BB1862">
              <w:rPr>
                <w:rStyle w:val="VerbatimChar"/>
                <w:sz w:val="18"/>
                <w:szCs w:val="18"/>
              </w:rPr>
              <w:t>ITT20240605</w:t>
            </w:r>
          </w:p>
        </w:tc>
        <w:tc>
          <w:tcPr>
            <w:tcW w:w="1197" w:type="dxa"/>
          </w:tcPr>
          <w:p w14:paraId="20027197" w14:textId="7C439AC9" w:rsidR="00223F4B" w:rsidRPr="00BB1862" w:rsidRDefault="00223F4B" w:rsidP="00223F4B">
            <w:pPr>
              <w:pStyle w:val="BodyText"/>
              <w:rPr>
                <w:rFonts w:ascii="Consolas" w:hAnsi="Consolas"/>
                <w:sz w:val="18"/>
                <w:szCs w:val="18"/>
              </w:rPr>
            </w:pPr>
            <w:r w:rsidRPr="00BB1862">
              <w:rPr>
                <w:rFonts w:ascii="Consolas" w:hAnsi="Consolas"/>
                <w:sz w:val="18"/>
                <w:szCs w:val="18"/>
              </w:rPr>
              <w:t>ITT</w:t>
            </w:r>
          </w:p>
        </w:tc>
        <w:tc>
          <w:tcPr>
            <w:tcW w:w="1197" w:type="dxa"/>
          </w:tcPr>
          <w:p w14:paraId="18CC6BC0" w14:textId="10EF3772" w:rsidR="00223F4B" w:rsidRPr="00BB1862" w:rsidRDefault="00D00F12" w:rsidP="00223F4B">
            <w:pPr>
              <w:pStyle w:val="BodyText"/>
              <w:rPr>
                <w:rFonts w:ascii="Consolas" w:hAnsi="Consolas"/>
                <w:sz w:val="18"/>
                <w:szCs w:val="18"/>
              </w:rPr>
            </w:pPr>
            <w:r w:rsidRPr="00BB1862">
              <w:rPr>
                <w:rStyle w:val="VerbatimChar"/>
                <w:sz w:val="18"/>
                <w:szCs w:val="18"/>
              </w:rPr>
              <w:t>Commission for Ethical Governance</w:t>
            </w:r>
          </w:p>
        </w:tc>
        <w:tc>
          <w:tcPr>
            <w:tcW w:w="1197" w:type="dxa"/>
          </w:tcPr>
          <w:p w14:paraId="754E5992" w14:textId="1B048A6B" w:rsidR="00223F4B" w:rsidRPr="00BB1862" w:rsidRDefault="00D00F12" w:rsidP="00223F4B">
            <w:pPr>
              <w:pStyle w:val="BodyText"/>
              <w:rPr>
                <w:rFonts w:ascii="Consolas" w:hAnsi="Consolas"/>
                <w:sz w:val="18"/>
                <w:szCs w:val="18"/>
              </w:rPr>
            </w:pPr>
            <w:r w:rsidRPr="00BB1862">
              <w:rPr>
                <w:rStyle w:val="VerbatimChar"/>
                <w:sz w:val="18"/>
                <w:szCs w:val="18"/>
              </w:rPr>
              <w:t>Energy-efficient systems and consumption monitoring.</w:t>
            </w:r>
          </w:p>
        </w:tc>
        <w:tc>
          <w:tcPr>
            <w:tcW w:w="1197" w:type="dxa"/>
          </w:tcPr>
          <w:p w14:paraId="59CF386A" w14:textId="4DBB8579" w:rsidR="00223F4B" w:rsidRPr="00BB1862" w:rsidRDefault="00D00F12" w:rsidP="00223F4B">
            <w:pPr>
              <w:pStyle w:val="BodyText"/>
              <w:rPr>
                <w:rFonts w:ascii="Consolas" w:hAnsi="Consolas"/>
                <w:sz w:val="18"/>
                <w:szCs w:val="18"/>
              </w:rPr>
            </w:pPr>
            <w:r w:rsidRPr="00BB1862">
              <w:rPr>
                <w:rStyle w:val="VerbatimChar"/>
                <w:sz w:val="18"/>
                <w:szCs w:val="18"/>
              </w:rPr>
              <w:t>2024-08-29</w:t>
            </w:r>
          </w:p>
        </w:tc>
        <w:tc>
          <w:tcPr>
            <w:tcW w:w="1197" w:type="dxa"/>
          </w:tcPr>
          <w:p w14:paraId="7DB41671" w14:textId="624E11C6" w:rsidR="00223F4B" w:rsidRPr="00BB1862" w:rsidRDefault="00D941E5" w:rsidP="00223F4B">
            <w:pPr>
              <w:pStyle w:val="BodyText"/>
              <w:rPr>
                <w:rFonts w:ascii="Consolas" w:hAnsi="Consolas"/>
                <w:sz w:val="18"/>
                <w:szCs w:val="18"/>
              </w:rPr>
            </w:pPr>
            <w:proofErr w:type="spellStart"/>
            <w:r w:rsidRPr="00BB1862">
              <w:rPr>
                <w:rStyle w:val="VerbatimChar"/>
                <w:sz w:val="18"/>
                <w:szCs w:val="18"/>
              </w:rPr>
              <w:t>TrueWave</w:t>
            </w:r>
            <w:proofErr w:type="spellEnd"/>
            <w:r w:rsidRPr="00BB1862">
              <w:rPr>
                <w:rStyle w:val="VerbatimChar"/>
                <w:sz w:val="18"/>
                <w:szCs w:val="18"/>
              </w:rPr>
              <w:t xml:space="preserve"> Facilities Management</w:t>
            </w:r>
          </w:p>
        </w:tc>
        <w:tc>
          <w:tcPr>
            <w:tcW w:w="1197" w:type="dxa"/>
          </w:tcPr>
          <w:p w14:paraId="00CDE863" w14:textId="39AD8A04" w:rsidR="00223F4B" w:rsidRPr="00BB1862" w:rsidRDefault="00D941E5" w:rsidP="00223F4B">
            <w:pPr>
              <w:pStyle w:val="BodyText"/>
              <w:rPr>
                <w:rFonts w:ascii="Consolas" w:hAnsi="Consolas"/>
                <w:sz w:val="18"/>
                <w:szCs w:val="18"/>
              </w:rPr>
            </w:pPr>
            <w:r w:rsidRPr="00BB1862">
              <w:rPr>
                <w:rStyle w:val="VerbatimChar"/>
                <w:sz w:val="18"/>
                <w:szCs w:val="18"/>
              </w:rPr>
              <w:t>316264</w:t>
            </w:r>
          </w:p>
        </w:tc>
      </w:tr>
    </w:tbl>
    <w:p w14:paraId="6B1F79F6" w14:textId="77777777" w:rsidR="00223F4B" w:rsidRPr="00223F4B" w:rsidRDefault="00223F4B" w:rsidP="00223F4B">
      <w:pPr>
        <w:pStyle w:val="BodyText"/>
      </w:pPr>
    </w:p>
    <w:p w14:paraId="55E340AC" w14:textId="547E8FC7" w:rsidR="00BB1862" w:rsidRDefault="0087698D" w:rsidP="0092720E">
      <w:pPr>
        <w:pStyle w:val="FirstParagraph"/>
      </w:pPr>
      <w:r>
        <w:t>The</w:t>
      </w:r>
      <w:r>
        <w:t xml:space="preserve"> three data points should not be considered as the dataset covers awards between 1 January 2017 and 31 December 2022.</w:t>
      </w:r>
    </w:p>
    <w:p w14:paraId="165EB41D" w14:textId="77777777" w:rsidR="00BB1862" w:rsidRDefault="00BB1862">
      <w:r>
        <w:br w:type="page"/>
      </w:r>
    </w:p>
    <w:p w14:paraId="33401354" w14:textId="77777777" w:rsidR="00E0440B" w:rsidRDefault="0087698D">
      <w:pPr>
        <w:pStyle w:val="Heading2"/>
      </w:pPr>
      <w:bookmarkStart w:id="2" w:name="X49da1ead4c552c75a324675c9c631817b3b37b5"/>
      <w:bookmarkEnd w:id="1"/>
      <w:r>
        <w:lastRenderedPageBreak/>
        <w:t>C</w:t>
      </w:r>
      <w:r>
        <w:t>hecking the Amount Awarded for ITT and ITQ</w:t>
      </w:r>
    </w:p>
    <w:p w14:paraId="33401355" w14:textId="77777777" w:rsidR="00E0440B" w:rsidRDefault="0087698D">
      <w:pPr>
        <w:pStyle w:val="FirstParagraph"/>
      </w:pPr>
      <w:r>
        <w:t>There are 10 projects listed in ITQ that fall below $10,000 in amount awarded.</w:t>
      </w:r>
    </w:p>
    <w:tbl>
      <w:tblPr>
        <w:tblStyle w:val="TableGrid"/>
        <w:tblW w:w="11482" w:type="dxa"/>
        <w:tblInd w:w="-1026" w:type="dxa"/>
        <w:tblLook w:val="04A0" w:firstRow="1" w:lastRow="0" w:firstColumn="1" w:lastColumn="0" w:noHBand="0" w:noVBand="1"/>
      </w:tblPr>
      <w:tblGrid>
        <w:gridCol w:w="612"/>
        <w:gridCol w:w="1305"/>
        <w:gridCol w:w="2761"/>
        <w:gridCol w:w="3402"/>
        <w:gridCol w:w="2268"/>
        <w:gridCol w:w="1134"/>
      </w:tblGrid>
      <w:tr w:rsidR="002F117D" w14:paraId="5730FBA9" w14:textId="77777777" w:rsidTr="00D90C90">
        <w:tc>
          <w:tcPr>
            <w:tcW w:w="612" w:type="dxa"/>
          </w:tcPr>
          <w:p w14:paraId="1D89C2FB" w14:textId="115924B0" w:rsidR="002F117D" w:rsidRDefault="002F117D" w:rsidP="00C92688">
            <w:pPr>
              <w:pStyle w:val="BodyText"/>
            </w:pPr>
            <w:r>
              <w:rPr>
                <w:rStyle w:val="VerbatimChar"/>
              </w:rPr>
              <w:t xml:space="preserve">SN        </w:t>
            </w:r>
          </w:p>
        </w:tc>
        <w:tc>
          <w:tcPr>
            <w:tcW w:w="1305" w:type="dxa"/>
          </w:tcPr>
          <w:p w14:paraId="4909DEBD" w14:textId="23E132F4" w:rsidR="002F117D" w:rsidRDefault="002F117D" w:rsidP="00C92688">
            <w:pPr>
              <w:pStyle w:val="BodyText"/>
            </w:pPr>
            <w:r>
              <w:t>Code</w:t>
            </w:r>
          </w:p>
        </w:tc>
        <w:tc>
          <w:tcPr>
            <w:tcW w:w="2761" w:type="dxa"/>
          </w:tcPr>
          <w:p w14:paraId="5BF14B43" w14:textId="0C277444" w:rsidR="002F117D" w:rsidRDefault="002F117D" w:rsidP="00C92688">
            <w:pPr>
              <w:pStyle w:val="BodyText"/>
            </w:pPr>
            <w:r>
              <w:t>Agency</w:t>
            </w:r>
          </w:p>
        </w:tc>
        <w:tc>
          <w:tcPr>
            <w:tcW w:w="3402" w:type="dxa"/>
          </w:tcPr>
          <w:p w14:paraId="52E12F3E" w14:textId="60A40FE5" w:rsidR="002F117D" w:rsidRDefault="002F117D" w:rsidP="00C92688">
            <w:pPr>
              <w:pStyle w:val="BodyText"/>
            </w:pPr>
            <w:r>
              <w:t>Description</w:t>
            </w:r>
          </w:p>
        </w:tc>
        <w:tc>
          <w:tcPr>
            <w:tcW w:w="2268" w:type="dxa"/>
          </w:tcPr>
          <w:p w14:paraId="1F2CBA64" w14:textId="2F4F89BB" w:rsidR="002F117D" w:rsidRDefault="002F117D" w:rsidP="00C92688">
            <w:pPr>
              <w:pStyle w:val="BodyText"/>
            </w:pPr>
            <w:r>
              <w:t>Supplier</w:t>
            </w:r>
          </w:p>
        </w:tc>
        <w:tc>
          <w:tcPr>
            <w:tcW w:w="1134" w:type="dxa"/>
          </w:tcPr>
          <w:p w14:paraId="11F74C26" w14:textId="19639963" w:rsidR="002F117D" w:rsidRDefault="002F117D" w:rsidP="00C92688">
            <w:pPr>
              <w:pStyle w:val="BodyText"/>
            </w:pPr>
            <w:r>
              <w:t>Amount</w:t>
            </w:r>
          </w:p>
        </w:tc>
      </w:tr>
      <w:tr w:rsidR="002F117D" w14:paraId="6484AD0C" w14:textId="77777777" w:rsidTr="00D90C90">
        <w:tc>
          <w:tcPr>
            <w:tcW w:w="612" w:type="dxa"/>
          </w:tcPr>
          <w:p w14:paraId="0D336288" w14:textId="4D5A3402" w:rsidR="002F117D" w:rsidRPr="00BB1862" w:rsidRDefault="002F117D" w:rsidP="00C92688">
            <w:pPr>
              <w:pStyle w:val="BodyText"/>
              <w:rPr>
                <w:rFonts w:ascii="Consolas" w:hAnsi="Consolas"/>
                <w:sz w:val="18"/>
                <w:szCs w:val="18"/>
              </w:rPr>
            </w:pPr>
            <w:r w:rsidRPr="00BB1862">
              <w:rPr>
                <w:rStyle w:val="VerbatimChar"/>
                <w:sz w:val="18"/>
                <w:szCs w:val="18"/>
              </w:rPr>
              <w:t>117</w:t>
            </w:r>
          </w:p>
        </w:tc>
        <w:tc>
          <w:tcPr>
            <w:tcW w:w="1305" w:type="dxa"/>
          </w:tcPr>
          <w:p w14:paraId="0757B09C" w14:textId="2BE78709" w:rsidR="002F117D" w:rsidRPr="00BB1862" w:rsidRDefault="002F117D" w:rsidP="00C92688">
            <w:pPr>
              <w:pStyle w:val="BodyText"/>
              <w:rPr>
                <w:rFonts w:ascii="Consolas" w:hAnsi="Consolas"/>
                <w:sz w:val="18"/>
                <w:szCs w:val="18"/>
              </w:rPr>
            </w:pPr>
            <w:r w:rsidRPr="00BB1862">
              <w:rPr>
                <w:rStyle w:val="VerbatimChar"/>
                <w:sz w:val="18"/>
                <w:szCs w:val="18"/>
              </w:rPr>
              <w:t>ITQ20170116</w:t>
            </w:r>
          </w:p>
        </w:tc>
        <w:tc>
          <w:tcPr>
            <w:tcW w:w="2761" w:type="dxa"/>
          </w:tcPr>
          <w:p w14:paraId="22BB39CE" w14:textId="722829F0" w:rsidR="002F117D" w:rsidRPr="00BB1862" w:rsidRDefault="002F117D" w:rsidP="00C92688">
            <w:pPr>
              <w:pStyle w:val="BodyText"/>
              <w:rPr>
                <w:rFonts w:ascii="Consolas" w:hAnsi="Consolas"/>
                <w:sz w:val="18"/>
                <w:szCs w:val="18"/>
              </w:rPr>
            </w:pPr>
            <w:r w:rsidRPr="00BB1862">
              <w:rPr>
                <w:rStyle w:val="VerbatimChar"/>
                <w:sz w:val="18"/>
                <w:szCs w:val="18"/>
              </w:rPr>
              <w:t>Bureau of National Security and Intelligence</w:t>
            </w:r>
          </w:p>
        </w:tc>
        <w:tc>
          <w:tcPr>
            <w:tcW w:w="3402" w:type="dxa"/>
          </w:tcPr>
          <w:p w14:paraId="03A56AAF" w14:textId="7A6D2F5A" w:rsidR="002F117D" w:rsidRPr="00BB1862" w:rsidRDefault="002F117D" w:rsidP="00C92688">
            <w:pPr>
              <w:pStyle w:val="BodyText"/>
              <w:rPr>
                <w:rFonts w:ascii="Consolas" w:hAnsi="Consolas"/>
                <w:sz w:val="18"/>
                <w:szCs w:val="18"/>
              </w:rPr>
            </w:pPr>
            <w:r w:rsidRPr="00BB1862">
              <w:rPr>
                <w:rStyle w:val="VerbatimChar"/>
                <w:sz w:val="18"/>
                <w:szCs w:val="18"/>
              </w:rPr>
              <w:t xml:space="preserve">Indoor air quality monitoring and improvement measures. </w:t>
            </w:r>
          </w:p>
        </w:tc>
        <w:tc>
          <w:tcPr>
            <w:tcW w:w="2268" w:type="dxa"/>
          </w:tcPr>
          <w:p w14:paraId="4EC2D714" w14:textId="27C274FB" w:rsidR="002F117D" w:rsidRPr="00BB1862" w:rsidRDefault="002F117D" w:rsidP="00C92688">
            <w:pPr>
              <w:pStyle w:val="BodyText"/>
              <w:rPr>
                <w:rFonts w:ascii="Consolas" w:hAnsi="Consolas"/>
                <w:sz w:val="18"/>
                <w:szCs w:val="18"/>
              </w:rPr>
            </w:pPr>
            <w:proofErr w:type="spellStart"/>
            <w:r w:rsidRPr="00BB1862">
              <w:rPr>
                <w:rStyle w:val="VerbatimChar"/>
                <w:sz w:val="18"/>
                <w:szCs w:val="18"/>
              </w:rPr>
              <w:t>SafeHarbor</w:t>
            </w:r>
            <w:proofErr w:type="spellEnd"/>
            <w:r w:rsidRPr="00BB1862">
              <w:rPr>
                <w:rStyle w:val="VerbatimChar"/>
                <w:sz w:val="18"/>
                <w:szCs w:val="18"/>
              </w:rPr>
              <w:t xml:space="preserve"> Facilities Group</w:t>
            </w:r>
          </w:p>
        </w:tc>
        <w:tc>
          <w:tcPr>
            <w:tcW w:w="1134" w:type="dxa"/>
          </w:tcPr>
          <w:p w14:paraId="23C1FFF2" w14:textId="6A0E9627" w:rsidR="002F117D" w:rsidRPr="00BB1862" w:rsidRDefault="002F117D" w:rsidP="00C92688">
            <w:pPr>
              <w:pStyle w:val="BodyText"/>
              <w:rPr>
                <w:rFonts w:ascii="Consolas" w:hAnsi="Consolas"/>
                <w:sz w:val="18"/>
                <w:szCs w:val="18"/>
              </w:rPr>
            </w:pPr>
            <w:r w:rsidRPr="00BB1862">
              <w:rPr>
                <w:rStyle w:val="VerbatimChar"/>
                <w:sz w:val="18"/>
                <w:szCs w:val="18"/>
              </w:rPr>
              <w:t>9509</w:t>
            </w:r>
          </w:p>
        </w:tc>
      </w:tr>
      <w:tr w:rsidR="002F117D" w14:paraId="109EF9E2" w14:textId="77777777" w:rsidTr="00D90C90">
        <w:tc>
          <w:tcPr>
            <w:tcW w:w="612" w:type="dxa"/>
          </w:tcPr>
          <w:p w14:paraId="50EF7FCC" w14:textId="3296B83B" w:rsidR="002F117D" w:rsidRPr="00BB1862" w:rsidRDefault="002F117D" w:rsidP="00C92688">
            <w:pPr>
              <w:pStyle w:val="BodyText"/>
              <w:rPr>
                <w:rFonts w:ascii="Consolas" w:hAnsi="Consolas"/>
                <w:sz w:val="18"/>
                <w:szCs w:val="18"/>
              </w:rPr>
            </w:pPr>
            <w:r w:rsidRPr="00BB1862">
              <w:rPr>
                <w:rStyle w:val="VerbatimChar"/>
                <w:sz w:val="18"/>
                <w:szCs w:val="18"/>
              </w:rPr>
              <w:t>262</w:t>
            </w:r>
          </w:p>
        </w:tc>
        <w:tc>
          <w:tcPr>
            <w:tcW w:w="1305" w:type="dxa"/>
          </w:tcPr>
          <w:p w14:paraId="0F06982B" w14:textId="16316022" w:rsidR="002F117D" w:rsidRPr="00BB1862" w:rsidRDefault="002F117D" w:rsidP="00C92688">
            <w:pPr>
              <w:pStyle w:val="BodyText"/>
              <w:rPr>
                <w:rFonts w:ascii="Consolas" w:hAnsi="Consolas"/>
                <w:sz w:val="18"/>
                <w:szCs w:val="18"/>
              </w:rPr>
            </w:pPr>
            <w:r w:rsidRPr="00BB1862">
              <w:rPr>
                <w:rStyle w:val="VerbatimChar"/>
                <w:sz w:val="18"/>
                <w:szCs w:val="18"/>
              </w:rPr>
              <w:t>ITQ20170261</w:t>
            </w:r>
          </w:p>
        </w:tc>
        <w:tc>
          <w:tcPr>
            <w:tcW w:w="2761" w:type="dxa"/>
          </w:tcPr>
          <w:p w14:paraId="5BA61138" w14:textId="1F7CC8A9" w:rsidR="002F117D" w:rsidRPr="00BB1862" w:rsidRDefault="002F117D" w:rsidP="00C92688">
            <w:pPr>
              <w:pStyle w:val="BodyText"/>
              <w:rPr>
                <w:rFonts w:ascii="Consolas" w:hAnsi="Consolas"/>
                <w:sz w:val="18"/>
                <w:szCs w:val="18"/>
              </w:rPr>
            </w:pPr>
            <w:r w:rsidRPr="00BB1862">
              <w:rPr>
                <w:rStyle w:val="VerbatimChar"/>
                <w:sz w:val="18"/>
                <w:szCs w:val="18"/>
              </w:rPr>
              <w:t>Department of Advanced Technological Research</w:t>
            </w:r>
          </w:p>
        </w:tc>
        <w:tc>
          <w:tcPr>
            <w:tcW w:w="3402" w:type="dxa"/>
          </w:tcPr>
          <w:p w14:paraId="0CEF674A" w14:textId="7ED18E1D" w:rsidR="002F117D" w:rsidRPr="00BB1862" w:rsidRDefault="002F117D" w:rsidP="00C92688">
            <w:pPr>
              <w:pStyle w:val="BodyText"/>
              <w:rPr>
                <w:rFonts w:ascii="Consolas" w:hAnsi="Consolas"/>
                <w:sz w:val="18"/>
                <w:szCs w:val="18"/>
              </w:rPr>
            </w:pPr>
            <w:r w:rsidRPr="00BB1862">
              <w:rPr>
                <w:rStyle w:val="VerbatimChar"/>
                <w:sz w:val="18"/>
                <w:szCs w:val="18"/>
              </w:rPr>
              <w:t xml:space="preserve">Pest control services for a pest-free environment. </w:t>
            </w:r>
          </w:p>
        </w:tc>
        <w:tc>
          <w:tcPr>
            <w:tcW w:w="2268" w:type="dxa"/>
          </w:tcPr>
          <w:p w14:paraId="3CB4E576" w14:textId="03A63FA4" w:rsidR="002F117D" w:rsidRPr="00BB1862" w:rsidRDefault="002F117D" w:rsidP="00C92688">
            <w:pPr>
              <w:pStyle w:val="BodyText"/>
              <w:rPr>
                <w:rFonts w:ascii="Consolas" w:hAnsi="Consolas"/>
                <w:sz w:val="18"/>
                <w:szCs w:val="18"/>
              </w:rPr>
            </w:pPr>
            <w:proofErr w:type="spellStart"/>
            <w:r w:rsidRPr="00BB1862">
              <w:rPr>
                <w:rStyle w:val="VerbatimChar"/>
                <w:sz w:val="18"/>
                <w:szCs w:val="18"/>
              </w:rPr>
              <w:t>StarStone</w:t>
            </w:r>
            <w:proofErr w:type="spellEnd"/>
            <w:r w:rsidRPr="00BB1862">
              <w:rPr>
                <w:rStyle w:val="VerbatimChar"/>
                <w:sz w:val="18"/>
                <w:szCs w:val="18"/>
              </w:rPr>
              <w:t xml:space="preserve"> Facility Services   </w:t>
            </w:r>
          </w:p>
        </w:tc>
        <w:tc>
          <w:tcPr>
            <w:tcW w:w="1134" w:type="dxa"/>
          </w:tcPr>
          <w:p w14:paraId="02D3C0FA" w14:textId="471B0ADA" w:rsidR="002F117D" w:rsidRPr="00BB1862" w:rsidRDefault="002F117D" w:rsidP="00C92688">
            <w:pPr>
              <w:pStyle w:val="BodyText"/>
              <w:rPr>
                <w:rFonts w:ascii="Consolas" w:hAnsi="Consolas"/>
                <w:sz w:val="18"/>
                <w:szCs w:val="18"/>
              </w:rPr>
            </w:pPr>
            <w:r w:rsidRPr="00BB1862">
              <w:rPr>
                <w:rFonts w:ascii="Consolas" w:hAnsi="Consolas"/>
                <w:sz w:val="18"/>
                <w:szCs w:val="18"/>
              </w:rPr>
              <w:t>9072</w:t>
            </w:r>
          </w:p>
        </w:tc>
      </w:tr>
      <w:tr w:rsidR="002F117D" w14:paraId="037A5E11" w14:textId="77777777" w:rsidTr="00D90C90">
        <w:tc>
          <w:tcPr>
            <w:tcW w:w="612" w:type="dxa"/>
          </w:tcPr>
          <w:p w14:paraId="3DE51C62" w14:textId="7EA9ED6F" w:rsidR="002F117D" w:rsidRPr="00BB1862" w:rsidRDefault="002F117D" w:rsidP="00C92688">
            <w:pPr>
              <w:pStyle w:val="BodyText"/>
              <w:rPr>
                <w:rFonts w:ascii="Consolas" w:hAnsi="Consolas"/>
                <w:sz w:val="18"/>
                <w:szCs w:val="18"/>
              </w:rPr>
            </w:pPr>
            <w:r w:rsidRPr="00BB1862">
              <w:rPr>
                <w:rStyle w:val="VerbatimChar"/>
                <w:sz w:val="18"/>
                <w:szCs w:val="18"/>
              </w:rPr>
              <w:t>396</w:t>
            </w:r>
          </w:p>
        </w:tc>
        <w:tc>
          <w:tcPr>
            <w:tcW w:w="1305" w:type="dxa"/>
          </w:tcPr>
          <w:p w14:paraId="197EBECF" w14:textId="1054FDD2" w:rsidR="002F117D" w:rsidRPr="00BB1862" w:rsidRDefault="002F117D" w:rsidP="00C92688">
            <w:pPr>
              <w:pStyle w:val="BodyText"/>
              <w:rPr>
                <w:rFonts w:ascii="Consolas" w:hAnsi="Consolas"/>
                <w:sz w:val="18"/>
                <w:szCs w:val="18"/>
              </w:rPr>
            </w:pPr>
            <w:r w:rsidRPr="00BB1862">
              <w:rPr>
                <w:rStyle w:val="VerbatimChar"/>
                <w:sz w:val="18"/>
                <w:szCs w:val="18"/>
              </w:rPr>
              <w:t>ITQ20180087</w:t>
            </w:r>
          </w:p>
        </w:tc>
        <w:tc>
          <w:tcPr>
            <w:tcW w:w="2761" w:type="dxa"/>
          </w:tcPr>
          <w:p w14:paraId="52F623EE" w14:textId="78E765D6" w:rsidR="002F117D" w:rsidRPr="00BB1862" w:rsidRDefault="002F117D" w:rsidP="00C92688">
            <w:pPr>
              <w:pStyle w:val="BodyText"/>
              <w:rPr>
                <w:rFonts w:ascii="Consolas" w:hAnsi="Consolas"/>
                <w:sz w:val="18"/>
                <w:szCs w:val="18"/>
              </w:rPr>
            </w:pPr>
            <w:r w:rsidRPr="00BB1862">
              <w:rPr>
                <w:rStyle w:val="VerbatimChar"/>
                <w:sz w:val="18"/>
                <w:szCs w:val="18"/>
              </w:rPr>
              <w:t>Bureau of National Security and Intelligence</w:t>
            </w:r>
          </w:p>
        </w:tc>
        <w:tc>
          <w:tcPr>
            <w:tcW w:w="3402" w:type="dxa"/>
          </w:tcPr>
          <w:p w14:paraId="47CD3827" w14:textId="3F116E94" w:rsidR="002F117D" w:rsidRPr="00BB1862" w:rsidRDefault="002F117D" w:rsidP="00C92688">
            <w:pPr>
              <w:pStyle w:val="BodyText"/>
              <w:rPr>
                <w:rFonts w:ascii="Consolas" w:hAnsi="Consolas"/>
                <w:sz w:val="18"/>
                <w:szCs w:val="18"/>
              </w:rPr>
            </w:pPr>
            <w:r w:rsidRPr="00BB1862">
              <w:rPr>
                <w:rStyle w:val="VerbatimChar"/>
                <w:sz w:val="18"/>
                <w:szCs w:val="18"/>
              </w:rPr>
              <w:t xml:space="preserve">Parking management and traffic control solutions. </w:t>
            </w:r>
            <w:r w:rsidRPr="00BB1862">
              <w:rPr>
                <w:rFonts w:ascii="Consolas" w:hAnsi="Consolas"/>
                <w:sz w:val="18"/>
                <w:szCs w:val="18"/>
              </w:rPr>
              <w:br/>
            </w:r>
          </w:p>
        </w:tc>
        <w:tc>
          <w:tcPr>
            <w:tcW w:w="2268" w:type="dxa"/>
          </w:tcPr>
          <w:p w14:paraId="62A595EC" w14:textId="5CB7A12B" w:rsidR="002F117D" w:rsidRPr="00BB1862" w:rsidRDefault="002F117D" w:rsidP="00C92688">
            <w:pPr>
              <w:pStyle w:val="BodyText"/>
              <w:rPr>
                <w:rFonts w:ascii="Consolas" w:hAnsi="Consolas"/>
                <w:sz w:val="18"/>
                <w:szCs w:val="18"/>
              </w:rPr>
            </w:pPr>
            <w:proofErr w:type="spellStart"/>
            <w:r w:rsidRPr="00BB1862">
              <w:rPr>
                <w:rStyle w:val="VerbatimChar"/>
                <w:sz w:val="18"/>
                <w:szCs w:val="18"/>
              </w:rPr>
              <w:t>GoldenGate</w:t>
            </w:r>
            <w:proofErr w:type="spellEnd"/>
            <w:r w:rsidRPr="00BB1862">
              <w:rPr>
                <w:rStyle w:val="VerbatimChar"/>
                <w:sz w:val="18"/>
                <w:szCs w:val="18"/>
              </w:rPr>
              <w:t xml:space="preserve"> Facility Masters</w:t>
            </w:r>
          </w:p>
        </w:tc>
        <w:tc>
          <w:tcPr>
            <w:tcW w:w="1134" w:type="dxa"/>
          </w:tcPr>
          <w:p w14:paraId="05756397" w14:textId="286B563C" w:rsidR="002F117D" w:rsidRPr="00BB1862" w:rsidRDefault="002F117D" w:rsidP="00C92688">
            <w:pPr>
              <w:pStyle w:val="BodyText"/>
              <w:rPr>
                <w:rFonts w:ascii="Consolas" w:hAnsi="Consolas"/>
                <w:sz w:val="18"/>
                <w:szCs w:val="18"/>
              </w:rPr>
            </w:pPr>
            <w:r w:rsidRPr="00BB1862">
              <w:rPr>
                <w:rStyle w:val="VerbatimChar"/>
                <w:sz w:val="18"/>
                <w:szCs w:val="18"/>
              </w:rPr>
              <w:t>9888</w:t>
            </w:r>
          </w:p>
        </w:tc>
      </w:tr>
      <w:tr w:rsidR="002F117D" w14:paraId="2BA203DA" w14:textId="77777777" w:rsidTr="00D90C90">
        <w:tc>
          <w:tcPr>
            <w:tcW w:w="612" w:type="dxa"/>
          </w:tcPr>
          <w:p w14:paraId="08776D39" w14:textId="16CEE493" w:rsidR="002F117D" w:rsidRPr="00BB1862" w:rsidRDefault="002F117D" w:rsidP="00C92688">
            <w:pPr>
              <w:pStyle w:val="BodyText"/>
              <w:rPr>
                <w:rFonts w:ascii="Consolas" w:hAnsi="Consolas"/>
                <w:sz w:val="18"/>
                <w:szCs w:val="18"/>
              </w:rPr>
            </w:pPr>
            <w:r w:rsidRPr="00BB1862">
              <w:rPr>
                <w:rStyle w:val="VerbatimChar"/>
                <w:sz w:val="18"/>
                <w:szCs w:val="18"/>
              </w:rPr>
              <w:t>629</w:t>
            </w:r>
          </w:p>
        </w:tc>
        <w:tc>
          <w:tcPr>
            <w:tcW w:w="1305" w:type="dxa"/>
          </w:tcPr>
          <w:p w14:paraId="68A5DC47" w14:textId="7980D809" w:rsidR="002F117D" w:rsidRPr="00BB1862" w:rsidRDefault="002F117D" w:rsidP="00C92688">
            <w:pPr>
              <w:pStyle w:val="BodyText"/>
              <w:rPr>
                <w:rFonts w:ascii="Consolas" w:hAnsi="Consolas"/>
                <w:sz w:val="18"/>
                <w:szCs w:val="18"/>
              </w:rPr>
            </w:pPr>
            <w:r w:rsidRPr="00BB1862">
              <w:rPr>
                <w:rStyle w:val="VerbatimChar"/>
                <w:sz w:val="18"/>
                <w:szCs w:val="18"/>
              </w:rPr>
              <w:t>ITQ20190014</w:t>
            </w:r>
          </w:p>
        </w:tc>
        <w:tc>
          <w:tcPr>
            <w:tcW w:w="2761" w:type="dxa"/>
          </w:tcPr>
          <w:p w14:paraId="31AD5458" w14:textId="17F720E4" w:rsidR="002F117D" w:rsidRPr="00BB1862" w:rsidRDefault="002F117D" w:rsidP="00C92688">
            <w:pPr>
              <w:pStyle w:val="BodyText"/>
              <w:rPr>
                <w:rFonts w:ascii="Consolas" w:hAnsi="Consolas"/>
                <w:sz w:val="18"/>
                <w:szCs w:val="18"/>
              </w:rPr>
            </w:pPr>
            <w:r w:rsidRPr="00BB1862">
              <w:rPr>
                <w:rStyle w:val="VerbatimChar"/>
                <w:sz w:val="18"/>
                <w:szCs w:val="18"/>
              </w:rPr>
              <w:t>Department of Advanced Technological Research</w:t>
            </w:r>
          </w:p>
        </w:tc>
        <w:tc>
          <w:tcPr>
            <w:tcW w:w="3402" w:type="dxa"/>
          </w:tcPr>
          <w:p w14:paraId="6189754E" w14:textId="5356455F" w:rsidR="002F117D" w:rsidRPr="00BB1862" w:rsidRDefault="002F117D" w:rsidP="00C92688">
            <w:pPr>
              <w:pStyle w:val="BodyText"/>
              <w:rPr>
                <w:rFonts w:ascii="Consolas" w:hAnsi="Consolas"/>
                <w:sz w:val="18"/>
                <w:szCs w:val="18"/>
              </w:rPr>
            </w:pPr>
            <w:r w:rsidRPr="00BB1862">
              <w:rPr>
                <w:rStyle w:val="VerbatimChar"/>
                <w:sz w:val="18"/>
                <w:szCs w:val="18"/>
              </w:rPr>
              <w:t xml:space="preserve">Energy-efficient lighting installation and maintenance. </w:t>
            </w:r>
          </w:p>
        </w:tc>
        <w:tc>
          <w:tcPr>
            <w:tcW w:w="2268" w:type="dxa"/>
          </w:tcPr>
          <w:p w14:paraId="75067527" w14:textId="2A79CAB2" w:rsidR="002F117D" w:rsidRPr="00BB1862" w:rsidRDefault="002F117D" w:rsidP="00C92688">
            <w:pPr>
              <w:pStyle w:val="BodyText"/>
              <w:rPr>
                <w:rFonts w:ascii="Consolas" w:hAnsi="Consolas"/>
                <w:sz w:val="18"/>
                <w:szCs w:val="18"/>
              </w:rPr>
            </w:pPr>
            <w:proofErr w:type="spellStart"/>
            <w:r w:rsidRPr="00BB1862">
              <w:rPr>
                <w:rStyle w:val="VerbatimChar"/>
                <w:sz w:val="18"/>
                <w:szCs w:val="18"/>
              </w:rPr>
              <w:t>UrbanTech</w:t>
            </w:r>
            <w:proofErr w:type="spellEnd"/>
            <w:r w:rsidRPr="00BB1862">
              <w:rPr>
                <w:rStyle w:val="VerbatimChar"/>
                <w:sz w:val="18"/>
                <w:szCs w:val="18"/>
              </w:rPr>
              <w:t xml:space="preserve"> Management  </w:t>
            </w:r>
          </w:p>
        </w:tc>
        <w:tc>
          <w:tcPr>
            <w:tcW w:w="1134" w:type="dxa"/>
          </w:tcPr>
          <w:p w14:paraId="13C9467E" w14:textId="43E5AE0F" w:rsidR="002F117D" w:rsidRPr="00BB1862" w:rsidRDefault="002F117D" w:rsidP="00C92688">
            <w:pPr>
              <w:pStyle w:val="BodyText"/>
              <w:rPr>
                <w:rFonts w:ascii="Consolas" w:hAnsi="Consolas"/>
                <w:sz w:val="18"/>
                <w:szCs w:val="18"/>
              </w:rPr>
            </w:pPr>
            <w:r w:rsidRPr="00BB1862">
              <w:rPr>
                <w:rStyle w:val="VerbatimChar"/>
                <w:sz w:val="18"/>
                <w:szCs w:val="18"/>
              </w:rPr>
              <w:t>9998</w:t>
            </w:r>
          </w:p>
        </w:tc>
      </w:tr>
      <w:tr w:rsidR="002F117D" w14:paraId="42713633" w14:textId="77777777" w:rsidTr="00D90C90">
        <w:tc>
          <w:tcPr>
            <w:tcW w:w="612" w:type="dxa"/>
          </w:tcPr>
          <w:p w14:paraId="017A7EE4" w14:textId="20F39AE1" w:rsidR="002F117D" w:rsidRPr="00BB1862" w:rsidRDefault="002F117D" w:rsidP="00C92688">
            <w:pPr>
              <w:pStyle w:val="BodyText"/>
              <w:rPr>
                <w:rFonts w:ascii="Consolas" w:hAnsi="Consolas"/>
                <w:sz w:val="18"/>
                <w:szCs w:val="18"/>
              </w:rPr>
            </w:pPr>
            <w:r w:rsidRPr="00BB1862">
              <w:rPr>
                <w:rStyle w:val="VerbatimChar"/>
                <w:sz w:val="18"/>
                <w:szCs w:val="18"/>
              </w:rPr>
              <w:t>644</w:t>
            </w:r>
          </w:p>
        </w:tc>
        <w:tc>
          <w:tcPr>
            <w:tcW w:w="1305" w:type="dxa"/>
          </w:tcPr>
          <w:p w14:paraId="5362A940" w14:textId="5C34A0E8" w:rsidR="002F117D" w:rsidRPr="00BB1862" w:rsidRDefault="002F117D" w:rsidP="00C92688">
            <w:pPr>
              <w:pStyle w:val="BodyText"/>
              <w:rPr>
                <w:rFonts w:ascii="Consolas" w:hAnsi="Consolas"/>
                <w:sz w:val="18"/>
                <w:szCs w:val="18"/>
              </w:rPr>
            </w:pPr>
            <w:r w:rsidRPr="00BB1862">
              <w:rPr>
                <w:rStyle w:val="VerbatimChar"/>
                <w:sz w:val="18"/>
                <w:szCs w:val="18"/>
              </w:rPr>
              <w:t>ITQ20190029</w:t>
            </w:r>
          </w:p>
        </w:tc>
        <w:tc>
          <w:tcPr>
            <w:tcW w:w="2761" w:type="dxa"/>
          </w:tcPr>
          <w:p w14:paraId="2BEE7C5E" w14:textId="39AD7855" w:rsidR="002F117D" w:rsidRPr="00BB1862" w:rsidRDefault="002F117D" w:rsidP="00C92688">
            <w:pPr>
              <w:pStyle w:val="BodyText"/>
              <w:rPr>
                <w:rFonts w:ascii="Consolas" w:hAnsi="Consolas"/>
                <w:sz w:val="18"/>
                <w:szCs w:val="18"/>
              </w:rPr>
            </w:pPr>
            <w:r w:rsidRPr="00BB1862">
              <w:rPr>
                <w:rStyle w:val="VerbatimChar"/>
                <w:sz w:val="18"/>
                <w:szCs w:val="18"/>
              </w:rPr>
              <w:t>Bureau of National Security and Intelligence</w:t>
            </w:r>
          </w:p>
        </w:tc>
        <w:tc>
          <w:tcPr>
            <w:tcW w:w="3402" w:type="dxa"/>
          </w:tcPr>
          <w:p w14:paraId="7725DAB7" w14:textId="49183768" w:rsidR="002F117D" w:rsidRPr="00BB1862" w:rsidRDefault="002F117D" w:rsidP="00C92688">
            <w:pPr>
              <w:pStyle w:val="BodyText"/>
              <w:rPr>
                <w:rFonts w:ascii="Consolas" w:hAnsi="Consolas"/>
                <w:sz w:val="18"/>
                <w:szCs w:val="18"/>
              </w:rPr>
            </w:pPr>
            <w:r w:rsidRPr="00BB1862">
              <w:rPr>
                <w:rStyle w:val="VerbatimChar"/>
                <w:sz w:val="18"/>
                <w:szCs w:val="18"/>
              </w:rPr>
              <w:t>Renovation and remodeling project management.</w:t>
            </w:r>
          </w:p>
        </w:tc>
        <w:tc>
          <w:tcPr>
            <w:tcW w:w="2268" w:type="dxa"/>
          </w:tcPr>
          <w:p w14:paraId="1E548837" w14:textId="0C25AFCB" w:rsidR="002F117D" w:rsidRPr="00BB1862" w:rsidRDefault="002F117D" w:rsidP="00C92688">
            <w:pPr>
              <w:pStyle w:val="BodyText"/>
              <w:rPr>
                <w:rFonts w:ascii="Consolas" w:hAnsi="Consolas"/>
                <w:sz w:val="18"/>
                <w:szCs w:val="18"/>
              </w:rPr>
            </w:pPr>
            <w:proofErr w:type="spellStart"/>
            <w:r w:rsidRPr="00BB1862">
              <w:rPr>
                <w:rStyle w:val="VerbatimChar"/>
                <w:sz w:val="18"/>
                <w:szCs w:val="18"/>
              </w:rPr>
              <w:t>EverGreen</w:t>
            </w:r>
            <w:proofErr w:type="spellEnd"/>
            <w:r w:rsidRPr="00BB1862">
              <w:rPr>
                <w:rStyle w:val="VerbatimChar"/>
                <w:sz w:val="18"/>
                <w:szCs w:val="18"/>
              </w:rPr>
              <w:t xml:space="preserve"> Property Support</w:t>
            </w:r>
          </w:p>
        </w:tc>
        <w:tc>
          <w:tcPr>
            <w:tcW w:w="1134" w:type="dxa"/>
          </w:tcPr>
          <w:p w14:paraId="2BFA7542" w14:textId="6464CEC3" w:rsidR="002F117D" w:rsidRPr="00BB1862" w:rsidRDefault="002F117D" w:rsidP="00C92688">
            <w:pPr>
              <w:pStyle w:val="BodyText"/>
              <w:rPr>
                <w:rFonts w:ascii="Consolas" w:hAnsi="Consolas"/>
                <w:sz w:val="18"/>
                <w:szCs w:val="18"/>
              </w:rPr>
            </w:pPr>
            <w:r w:rsidRPr="00BB1862">
              <w:rPr>
                <w:rStyle w:val="VerbatimChar"/>
                <w:sz w:val="18"/>
                <w:szCs w:val="18"/>
              </w:rPr>
              <w:t>9438</w:t>
            </w:r>
          </w:p>
        </w:tc>
      </w:tr>
      <w:tr w:rsidR="002F117D" w14:paraId="19B43E0F" w14:textId="77777777" w:rsidTr="001B4CBE">
        <w:trPr>
          <w:trHeight w:val="710"/>
        </w:trPr>
        <w:tc>
          <w:tcPr>
            <w:tcW w:w="612" w:type="dxa"/>
          </w:tcPr>
          <w:p w14:paraId="0C391879" w14:textId="37C5C0B9" w:rsidR="002F117D" w:rsidRPr="00BB1862" w:rsidRDefault="002F117D" w:rsidP="00C92688">
            <w:pPr>
              <w:pStyle w:val="BodyText"/>
              <w:rPr>
                <w:rFonts w:ascii="Consolas" w:hAnsi="Consolas"/>
                <w:sz w:val="18"/>
                <w:szCs w:val="18"/>
              </w:rPr>
            </w:pPr>
            <w:r w:rsidRPr="00BB1862">
              <w:rPr>
                <w:rStyle w:val="VerbatimChar"/>
                <w:sz w:val="18"/>
                <w:szCs w:val="18"/>
              </w:rPr>
              <w:t>807</w:t>
            </w:r>
          </w:p>
        </w:tc>
        <w:tc>
          <w:tcPr>
            <w:tcW w:w="1305" w:type="dxa"/>
          </w:tcPr>
          <w:p w14:paraId="056C9A8D" w14:textId="37A9D022" w:rsidR="002F117D" w:rsidRPr="00BB1862" w:rsidRDefault="002F117D" w:rsidP="00C92688">
            <w:pPr>
              <w:pStyle w:val="BodyText"/>
              <w:rPr>
                <w:rFonts w:ascii="Consolas" w:hAnsi="Consolas"/>
                <w:sz w:val="18"/>
                <w:szCs w:val="18"/>
              </w:rPr>
            </w:pPr>
            <w:r w:rsidRPr="00BB1862">
              <w:rPr>
                <w:rStyle w:val="VerbatimChar"/>
                <w:sz w:val="18"/>
                <w:szCs w:val="18"/>
              </w:rPr>
              <w:t>ITQ20190192</w:t>
            </w:r>
          </w:p>
        </w:tc>
        <w:tc>
          <w:tcPr>
            <w:tcW w:w="2761" w:type="dxa"/>
          </w:tcPr>
          <w:p w14:paraId="4F6DEEE4" w14:textId="067D322A" w:rsidR="002F117D" w:rsidRPr="00BB1862" w:rsidRDefault="002F117D" w:rsidP="00C92688">
            <w:pPr>
              <w:pStyle w:val="BodyText"/>
              <w:rPr>
                <w:rFonts w:ascii="Consolas" w:hAnsi="Consolas"/>
                <w:sz w:val="18"/>
                <w:szCs w:val="18"/>
              </w:rPr>
            </w:pPr>
            <w:r w:rsidRPr="00BB1862">
              <w:rPr>
                <w:rStyle w:val="VerbatimChar"/>
                <w:sz w:val="18"/>
                <w:szCs w:val="18"/>
              </w:rPr>
              <w:t>Bureau of National Security and Intelligence</w:t>
            </w:r>
          </w:p>
        </w:tc>
        <w:tc>
          <w:tcPr>
            <w:tcW w:w="3402" w:type="dxa"/>
          </w:tcPr>
          <w:p w14:paraId="47728A41" w14:textId="09EDD80B" w:rsidR="002F117D" w:rsidRPr="00BB1862" w:rsidRDefault="002F117D" w:rsidP="00C92688">
            <w:pPr>
              <w:pStyle w:val="BodyText"/>
              <w:rPr>
                <w:rFonts w:ascii="Consolas" w:hAnsi="Consolas"/>
                <w:sz w:val="18"/>
                <w:szCs w:val="18"/>
              </w:rPr>
            </w:pPr>
            <w:r w:rsidRPr="00BB1862">
              <w:rPr>
                <w:rStyle w:val="VerbatimChar"/>
                <w:sz w:val="18"/>
                <w:szCs w:val="18"/>
              </w:rPr>
              <w:t>Space planning and utilization optimization strategies.</w:t>
            </w:r>
          </w:p>
        </w:tc>
        <w:tc>
          <w:tcPr>
            <w:tcW w:w="2268" w:type="dxa"/>
          </w:tcPr>
          <w:p w14:paraId="69122564" w14:textId="40CE358F" w:rsidR="002F117D" w:rsidRPr="00BB1862" w:rsidRDefault="002F117D" w:rsidP="00C92688">
            <w:pPr>
              <w:pStyle w:val="BodyText"/>
              <w:rPr>
                <w:rFonts w:ascii="Consolas" w:hAnsi="Consolas"/>
                <w:sz w:val="18"/>
                <w:szCs w:val="18"/>
              </w:rPr>
            </w:pPr>
            <w:proofErr w:type="spellStart"/>
            <w:r w:rsidRPr="00BB1862">
              <w:rPr>
                <w:rStyle w:val="VerbatimChar"/>
                <w:sz w:val="18"/>
                <w:szCs w:val="18"/>
              </w:rPr>
              <w:t>SafeReach</w:t>
            </w:r>
            <w:proofErr w:type="spellEnd"/>
            <w:r w:rsidRPr="00BB1862">
              <w:rPr>
                <w:rStyle w:val="VerbatimChar"/>
                <w:sz w:val="18"/>
                <w:szCs w:val="18"/>
              </w:rPr>
              <w:t xml:space="preserve"> Property Solutions   </w:t>
            </w:r>
          </w:p>
        </w:tc>
        <w:tc>
          <w:tcPr>
            <w:tcW w:w="1134" w:type="dxa"/>
          </w:tcPr>
          <w:p w14:paraId="7831631D" w14:textId="61FC15AB" w:rsidR="002F117D" w:rsidRPr="00BB1862" w:rsidRDefault="002F117D" w:rsidP="00C92688">
            <w:pPr>
              <w:pStyle w:val="BodyText"/>
              <w:rPr>
                <w:rFonts w:ascii="Consolas" w:hAnsi="Consolas"/>
                <w:sz w:val="18"/>
                <w:szCs w:val="18"/>
              </w:rPr>
            </w:pPr>
            <w:r w:rsidRPr="00BB1862">
              <w:rPr>
                <w:rStyle w:val="VerbatimChar"/>
                <w:sz w:val="18"/>
                <w:szCs w:val="18"/>
              </w:rPr>
              <w:t>9854</w:t>
            </w:r>
          </w:p>
        </w:tc>
      </w:tr>
      <w:tr w:rsidR="002F117D" w14:paraId="241CE190" w14:textId="77777777" w:rsidTr="00D90C90">
        <w:tc>
          <w:tcPr>
            <w:tcW w:w="612" w:type="dxa"/>
          </w:tcPr>
          <w:p w14:paraId="32BD75EE" w14:textId="30C30FCB" w:rsidR="002F117D" w:rsidRPr="00BB1862" w:rsidRDefault="002F117D" w:rsidP="00C92688">
            <w:pPr>
              <w:pStyle w:val="BodyText"/>
              <w:rPr>
                <w:rFonts w:ascii="Consolas" w:hAnsi="Consolas"/>
                <w:sz w:val="18"/>
                <w:szCs w:val="18"/>
              </w:rPr>
            </w:pPr>
            <w:r w:rsidRPr="00BB1862">
              <w:rPr>
                <w:rStyle w:val="VerbatimChar"/>
                <w:sz w:val="18"/>
                <w:szCs w:val="18"/>
              </w:rPr>
              <w:t>1099</w:t>
            </w:r>
          </w:p>
        </w:tc>
        <w:tc>
          <w:tcPr>
            <w:tcW w:w="1305" w:type="dxa"/>
          </w:tcPr>
          <w:p w14:paraId="2961F2F2" w14:textId="388564E9" w:rsidR="002F117D" w:rsidRPr="00BB1862" w:rsidRDefault="002F117D" w:rsidP="00C92688">
            <w:pPr>
              <w:pStyle w:val="BodyText"/>
              <w:rPr>
                <w:rFonts w:ascii="Consolas" w:hAnsi="Consolas"/>
                <w:sz w:val="18"/>
                <w:szCs w:val="18"/>
              </w:rPr>
            </w:pPr>
            <w:r w:rsidRPr="00BB1862">
              <w:rPr>
                <w:rStyle w:val="VerbatimChar"/>
                <w:sz w:val="18"/>
                <w:szCs w:val="18"/>
              </w:rPr>
              <w:t>ITQ20200144</w:t>
            </w:r>
          </w:p>
        </w:tc>
        <w:tc>
          <w:tcPr>
            <w:tcW w:w="2761" w:type="dxa"/>
          </w:tcPr>
          <w:p w14:paraId="1DC4381F" w14:textId="661267B1" w:rsidR="002F117D" w:rsidRPr="00BB1862" w:rsidRDefault="002F117D" w:rsidP="00C92688">
            <w:pPr>
              <w:pStyle w:val="BodyText"/>
              <w:rPr>
                <w:rFonts w:ascii="Consolas" w:hAnsi="Consolas"/>
                <w:sz w:val="18"/>
                <w:szCs w:val="18"/>
              </w:rPr>
            </w:pPr>
            <w:r w:rsidRPr="00BB1862">
              <w:rPr>
                <w:rStyle w:val="VerbatimChar"/>
                <w:sz w:val="18"/>
                <w:szCs w:val="18"/>
              </w:rPr>
              <w:t>Department of Advanced Technological Research</w:t>
            </w:r>
          </w:p>
        </w:tc>
        <w:tc>
          <w:tcPr>
            <w:tcW w:w="3402" w:type="dxa"/>
          </w:tcPr>
          <w:p w14:paraId="0BA9BC6E" w14:textId="271A8E34" w:rsidR="002F117D" w:rsidRPr="00BB1862" w:rsidRDefault="002F117D" w:rsidP="00C92688">
            <w:pPr>
              <w:pStyle w:val="BodyText"/>
              <w:rPr>
                <w:rFonts w:ascii="Consolas" w:hAnsi="Consolas"/>
                <w:sz w:val="18"/>
                <w:szCs w:val="18"/>
              </w:rPr>
            </w:pPr>
            <w:r w:rsidRPr="00BB1862">
              <w:rPr>
                <w:rStyle w:val="VerbatimChar"/>
                <w:sz w:val="18"/>
                <w:szCs w:val="18"/>
              </w:rPr>
              <w:t>Furniture and equipment maintenance and inventory tracking.</w:t>
            </w:r>
          </w:p>
        </w:tc>
        <w:tc>
          <w:tcPr>
            <w:tcW w:w="2268" w:type="dxa"/>
          </w:tcPr>
          <w:p w14:paraId="06776137" w14:textId="1BD24982" w:rsidR="002F117D" w:rsidRPr="00BB1862" w:rsidRDefault="002F117D" w:rsidP="00C92688">
            <w:pPr>
              <w:pStyle w:val="BodyText"/>
              <w:rPr>
                <w:rFonts w:ascii="Consolas" w:hAnsi="Consolas"/>
                <w:sz w:val="18"/>
                <w:szCs w:val="18"/>
              </w:rPr>
            </w:pPr>
            <w:r w:rsidRPr="00BB1862">
              <w:rPr>
                <w:rStyle w:val="VerbatimChar"/>
                <w:sz w:val="18"/>
                <w:szCs w:val="18"/>
              </w:rPr>
              <w:t>BlueSky Property Care</w:t>
            </w:r>
          </w:p>
        </w:tc>
        <w:tc>
          <w:tcPr>
            <w:tcW w:w="1134" w:type="dxa"/>
          </w:tcPr>
          <w:p w14:paraId="2CD936ED" w14:textId="6D5AD292" w:rsidR="002F117D" w:rsidRPr="00BB1862" w:rsidRDefault="002F117D" w:rsidP="00C92688">
            <w:pPr>
              <w:pStyle w:val="BodyText"/>
              <w:rPr>
                <w:rFonts w:ascii="Consolas" w:hAnsi="Consolas"/>
                <w:sz w:val="18"/>
                <w:szCs w:val="18"/>
              </w:rPr>
            </w:pPr>
            <w:r w:rsidRPr="00BB1862">
              <w:rPr>
                <w:rStyle w:val="VerbatimChar"/>
                <w:sz w:val="18"/>
                <w:szCs w:val="18"/>
              </w:rPr>
              <w:t>9161</w:t>
            </w:r>
          </w:p>
        </w:tc>
      </w:tr>
      <w:tr w:rsidR="002F117D" w14:paraId="60FC7618" w14:textId="77777777" w:rsidTr="00D90C90">
        <w:tc>
          <w:tcPr>
            <w:tcW w:w="612" w:type="dxa"/>
          </w:tcPr>
          <w:p w14:paraId="32FBE3C5" w14:textId="04A32E17" w:rsidR="002F117D" w:rsidRPr="00BB1862" w:rsidRDefault="002F117D" w:rsidP="00C92688">
            <w:pPr>
              <w:pStyle w:val="BodyText"/>
              <w:rPr>
                <w:rFonts w:ascii="Consolas" w:hAnsi="Consolas"/>
                <w:sz w:val="18"/>
                <w:szCs w:val="18"/>
              </w:rPr>
            </w:pPr>
            <w:r w:rsidRPr="00BB1862">
              <w:rPr>
                <w:rStyle w:val="VerbatimChar"/>
                <w:sz w:val="18"/>
                <w:szCs w:val="18"/>
              </w:rPr>
              <w:t>1195</w:t>
            </w:r>
          </w:p>
        </w:tc>
        <w:tc>
          <w:tcPr>
            <w:tcW w:w="1305" w:type="dxa"/>
          </w:tcPr>
          <w:p w14:paraId="045DBD15" w14:textId="29497FC2" w:rsidR="002F117D" w:rsidRPr="00BB1862" w:rsidRDefault="002F117D" w:rsidP="00C92688">
            <w:pPr>
              <w:pStyle w:val="BodyText"/>
              <w:rPr>
                <w:rFonts w:ascii="Consolas" w:hAnsi="Consolas"/>
                <w:sz w:val="18"/>
                <w:szCs w:val="18"/>
              </w:rPr>
            </w:pPr>
            <w:r w:rsidRPr="00BB1862">
              <w:rPr>
                <w:rStyle w:val="VerbatimChar"/>
                <w:sz w:val="18"/>
                <w:szCs w:val="18"/>
              </w:rPr>
              <w:t>ITQ20210029</w:t>
            </w:r>
          </w:p>
        </w:tc>
        <w:tc>
          <w:tcPr>
            <w:tcW w:w="2761" w:type="dxa"/>
          </w:tcPr>
          <w:p w14:paraId="716CDD7C" w14:textId="73C8BDA5" w:rsidR="002F117D" w:rsidRPr="00BB1862" w:rsidRDefault="002F117D" w:rsidP="00C92688">
            <w:pPr>
              <w:pStyle w:val="BodyText"/>
              <w:rPr>
                <w:rFonts w:ascii="Consolas" w:hAnsi="Consolas"/>
                <w:sz w:val="18"/>
                <w:szCs w:val="18"/>
              </w:rPr>
            </w:pPr>
            <w:r w:rsidRPr="00BB1862">
              <w:rPr>
                <w:rStyle w:val="VerbatimChar"/>
                <w:sz w:val="18"/>
                <w:szCs w:val="18"/>
              </w:rPr>
              <w:t>Bureau of National Security and Intelligence</w:t>
            </w:r>
          </w:p>
        </w:tc>
        <w:tc>
          <w:tcPr>
            <w:tcW w:w="3402" w:type="dxa"/>
          </w:tcPr>
          <w:p w14:paraId="7879C718" w14:textId="1945C60D" w:rsidR="002F117D" w:rsidRPr="00BB1862" w:rsidRDefault="002F117D" w:rsidP="00C92688">
            <w:pPr>
              <w:pStyle w:val="BodyText"/>
              <w:rPr>
                <w:rFonts w:ascii="Consolas" w:hAnsi="Consolas"/>
                <w:sz w:val="18"/>
                <w:szCs w:val="18"/>
              </w:rPr>
            </w:pPr>
            <w:r w:rsidRPr="00BB1862">
              <w:rPr>
                <w:rStyle w:val="VerbatimChar"/>
                <w:sz w:val="18"/>
                <w:szCs w:val="18"/>
              </w:rPr>
              <w:t xml:space="preserve">Tenant communication and customer service assistance. </w:t>
            </w:r>
          </w:p>
        </w:tc>
        <w:tc>
          <w:tcPr>
            <w:tcW w:w="2268" w:type="dxa"/>
          </w:tcPr>
          <w:p w14:paraId="5D613CB9" w14:textId="50A78BC3" w:rsidR="002F117D" w:rsidRPr="00BB1862" w:rsidRDefault="002F117D" w:rsidP="00C92688">
            <w:pPr>
              <w:pStyle w:val="BodyText"/>
              <w:rPr>
                <w:rFonts w:ascii="Consolas" w:hAnsi="Consolas"/>
                <w:sz w:val="18"/>
                <w:szCs w:val="18"/>
              </w:rPr>
            </w:pPr>
            <w:proofErr w:type="spellStart"/>
            <w:r w:rsidRPr="00BB1862">
              <w:rPr>
                <w:rStyle w:val="VerbatimChar"/>
                <w:sz w:val="18"/>
                <w:szCs w:val="18"/>
              </w:rPr>
              <w:t>BlueReach</w:t>
            </w:r>
            <w:proofErr w:type="spellEnd"/>
            <w:r w:rsidRPr="00BB1862">
              <w:rPr>
                <w:rStyle w:val="VerbatimChar"/>
                <w:sz w:val="18"/>
                <w:szCs w:val="18"/>
              </w:rPr>
              <w:t xml:space="preserve"> Property Solutions  </w:t>
            </w:r>
          </w:p>
        </w:tc>
        <w:tc>
          <w:tcPr>
            <w:tcW w:w="1134" w:type="dxa"/>
          </w:tcPr>
          <w:p w14:paraId="766377EB" w14:textId="5A3B9E48" w:rsidR="002F117D" w:rsidRPr="00BB1862" w:rsidRDefault="002F117D" w:rsidP="00C92688">
            <w:pPr>
              <w:pStyle w:val="BodyText"/>
              <w:rPr>
                <w:rFonts w:ascii="Consolas" w:hAnsi="Consolas"/>
                <w:sz w:val="18"/>
                <w:szCs w:val="18"/>
              </w:rPr>
            </w:pPr>
            <w:r w:rsidRPr="00BB1862">
              <w:rPr>
                <w:rStyle w:val="VerbatimChar"/>
                <w:sz w:val="18"/>
                <w:szCs w:val="18"/>
              </w:rPr>
              <w:t>9537</w:t>
            </w:r>
          </w:p>
        </w:tc>
      </w:tr>
      <w:tr w:rsidR="002F117D" w14:paraId="4FE623BC" w14:textId="77777777" w:rsidTr="00D90C90">
        <w:tc>
          <w:tcPr>
            <w:tcW w:w="612" w:type="dxa"/>
          </w:tcPr>
          <w:p w14:paraId="504B5D25" w14:textId="2F5273F2" w:rsidR="002F117D" w:rsidRPr="00BB1862" w:rsidRDefault="002F117D" w:rsidP="00C92688">
            <w:pPr>
              <w:pStyle w:val="BodyText"/>
              <w:rPr>
                <w:rFonts w:ascii="Consolas" w:hAnsi="Consolas"/>
                <w:sz w:val="18"/>
                <w:szCs w:val="18"/>
              </w:rPr>
            </w:pPr>
            <w:r w:rsidRPr="00BB1862">
              <w:rPr>
                <w:rStyle w:val="VerbatimChar"/>
                <w:sz w:val="18"/>
                <w:szCs w:val="18"/>
              </w:rPr>
              <w:t>1316</w:t>
            </w:r>
          </w:p>
        </w:tc>
        <w:tc>
          <w:tcPr>
            <w:tcW w:w="1305" w:type="dxa"/>
          </w:tcPr>
          <w:p w14:paraId="764139E4" w14:textId="3EB89BA5" w:rsidR="002F117D" w:rsidRPr="00BB1862" w:rsidRDefault="002F117D" w:rsidP="00C92688">
            <w:pPr>
              <w:pStyle w:val="BodyText"/>
              <w:rPr>
                <w:rFonts w:ascii="Consolas" w:hAnsi="Consolas"/>
                <w:sz w:val="18"/>
                <w:szCs w:val="18"/>
              </w:rPr>
            </w:pPr>
            <w:r w:rsidRPr="00BB1862">
              <w:rPr>
                <w:rStyle w:val="VerbatimChar"/>
                <w:sz w:val="18"/>
                <w:szCs w:val="18"/>
              </w:rPr>
              <w:t>ITQ20210150</w:t>
            </w:r>
          </w:p>
        </w:tc>
        <w:tc>
          <w:tcPr>
            <w:tcW w:w="2761" w:type="dxa"/>
          </w:tcPr>
          <w:p w14:paraId="02872889" w14:textId="7B0C113A" w:rsidR="002F117D" w:rsidRPr="00BB1862" w:rsidRDefault="002F117D" w:rsidP="00C92688">
            <w:pPr>
              <w:pStyle w:val="BodyText"/>
              <w:rPr>
                <w:rFonts w:ascii="Consolas" w:hAnsi="Consolas"/>
                <w:sz w:val="18"/>
                <w:szCs w:val="18"/>
              </w:rPr>
            </w:pPr>
            <w:r w:rsidRPr="00BB1862">
              <w:rPr>
                <w:rStyle w:val="VerbatimChar"/>
                <w:sz w:val="18"/>
                <w:szCs w:val="18"/>
              </w:rPr>
              <w:t>Department of Advanced Technological Research</w:t>
            </w:r>
          </w:p>
        </w:tc>
        <w:tc>
          <w:tcPr>
            <w:tcW w:w="3402" w:type="dxa"/>
          </w:tcPr>
          <w:p w14:paraId="162AD24F" w14:textId="5D432CBF" w:rsidR="002F117D" w:rsidRPr="00BB1862" w:rsidRDefault="002F117D" w:rsidP="00C92688">
            <w:pPr>
              <w:pStyle w:val="BodyText"/>
              <w:rPr>
                <w:rFonts w:ascii="Consolas" w:hAnsi="Consolas"/>
                <w:sz w:val="18"/>
                <w:szCs w:val="18"/>
              </w:rPr>
            </w:pPr>
            <w:r w:rsidRPr="00BB1862">
              <w:rPr>
                <w:rStyle w:val="VerbatimChar"/>
                <w:sz w:val="18"/>
                <w:szCs w:val="18"/>
              </w:rPr>
              <w:t xml:space="preserve">HVAC system maintenance and climate control optimization. </w:t>
            </w:r>
          </w:p>
        </w:tc>
        <w:tc>
          <w:tcPr>
            <w:tcW w:w="2268" w:type="dxa"/>
          </w:tcPr>
          <w:p w14:paraId="4BD7975D" w14:textId="3B186DD9" w:rsidR="002F117D" w:rsidRPr="00BB1862" w:rsidRDefault="002F117D" w:rsidP="00C92688">
            <w:pPr>
              <w:pStyle w:val="BodyText"/>
              <w:rPr>
                <w:rFonts w:ascii="Consolas" w:hAnsi="Consolas"/>
                <w:sz w:val="18"/>
                <w:szCs w:val="18"/>
              </w:rPr>
            </w:pPr>
            <w:proofErr w:type="spellStart"/>
            <w:r w:rsidRPr="00BB1862">
              <w:rPr>
                <w:rStyle w:val="VerbatimChar"/>
                <w:sz w:val="18"/>
                <w:szCs w:val="18"/>
              </w:rPr>
              <w:t>InfiniteGuard</w:t>
            </w:r>
            <w:proofErr w:type="spellEnd"/>
            <w:r w:rsidRPr="00BB1862">
              <w:rPr>
                <w:rStyle w:val="VerbatimChar"/>
                <w:sz w:val="18"/>
                <w:szCs w:val="18"/>
              </w:rPr>
              <w:t xml:space="preserve"> Building Care   </w:t>
            </w:r>
          </w:p>
        </w:tc>
        <w:tc>
          <w:tcPr>
            <w:tcW w:w="1134" w:type="dxa"/>
          </w:tcPr>
          <w:p w14:paraId="28D6B4E3" w14:textId="333AEA69" w:rsidR="002F117D" w:rsidRPr="00BB1862" w:rsidRDefault="002F117D" w:rsidP="00C92688">
            <w:pPr>
              <w:pStyle w:val="BodyText"/>
              <w:rPr>
                <w:rFonts w:ascii="Consolas" w:hAnsi="Consolas"/>
                <w:sz w:val="18"/>
                <w:szCs w:val="18"/>
              </w:rPr>
            </w:pPr>
            <w:r w:rsidRPr="00BB1862">
              <w:rPr>
                <w:rStyle w:val="VerbatimChar"/>
                <w:sz w:val="18"/>
                <w:szCs w:val="18"/>
              </w:rPr>
              <w:t>9407</w:t>
            </w:r>
          </w:p>
        </w:tc>
      </w:tr>
      <w:tr w:rsidR="002F117D" w14:paraId="34772E69" w14:textId="77777777" w:rsidTr="00D90C90">
        <w:tc>
          <w:tcPr>
            <w:tcW w:w="612" w:type="dxa"/>
          </w:tcPr>
          <w:p w14:paraId="4AF5B0C6" w14:textId="3C4D67FA" w:rsidR="002F117D" w:rsidRPr="00BB1862" w:rsidRDefault="002F117D" w:rsidP="00C92688">
            <w:pPr>
              <w:pStyle w:val="BodyText"/>
              <w:rPr>
                <w:rFonts w:ascii="Consolas" w:hAnsi="Consolas"/>
                <w:sz w:val="18"/>
                <w:szCs w:val="18"/>
              </w:rPr>
            </w:pPr>
            <w:r w:rsidRPr="00BB1862">
              <w:rPr>
                <w:rStyle w:val="VerbatimChar"/>
                <w:sz w:val="18"/>
                <w:szCs w:val="18"/>
              </w:rPr>
              <w:t>1392</w:t>
            </w:r>
          </w:p>
        </w:tc>
        <w:tc>
          <w:tcPr>
            <w:tcW w:w="1305" w:type="dxa"/>
          </w:tcPr>
          <w:p w14:paraId="4E8B6EBA" w14:textId="63EB6722" w:rsidR="002F117D" w:rsidRPr="00BB1862" w:rsidRDefault="002F117D" w:rsidP="00C92688">
            <w:pPr>
              <w:pStyle w:val="BodyText"/>
              <w:rPr>
                <w:rFonts w:ascii="Consolas" w:hAnsi="Consolas"/>
                <w:sz w:val="18"/>
                <w:szCs w:val="18"/>
              </w:rPr>
            </w:pPr>
            <w:r w:rsidRPr="00BB1862">
              <w:rPr>
                <w:rStyle w:val="VerbatimChar"/>
                <w:sz w:val="18"/>
                <w:szCs w:val="18"/>
              </w:rPr>
              <w:t>ITQ20220013</w:t>
            </w:r>
          </w:p>
        </w:tc>
        <w:tc>
          <w:tcPr>
            <w:tcW w:w="2761" w:type="dxa"/>
          </w:tcPr>
          <w:p w14:paraId="306693D4" w14:textId="1206ED7E" w:rsidR="002F117D" w:rsidRPr="00BB1862" w:rsidRDefault="002F117D" w:rsidP="00C92688">
            <w:pPr>
              <w:pStyle w:val="BodyText"/>
              <w:rPr>
                <w:rFonts w:ascii="Consolas" w:hAnsi="Consolas"/>
                <w:sz w:val="18"/>
                <w:szCs w:val="18"/>
              </w:rPr>
            </w:pPr>
            <w:r w:rsidRPr="00BB1862">
              <w:rPr>
                <w:rStyle w:val="VerbatimChar"/>
                <w:sz w:val="18"/>
                <w:szCs w:val="18"/>
              </w:rPr>
              <w:t>Department of Advanced Technological Research</w:t>
            </w:r>
          </w:p>
        </w:tc>
        <w:tc>
          <w:tcPr>
            <w:tcW w:w="3402" w:type="dxa"/>
          </w:tcPr>
          <w:p w14:paraId="6A41FD63" w14:textId="5006DDAA" w:rsidR="002F117D" w:rsidRPr="00BB1862" w:rsidRDefault="002F117D" w:rsidP="00C92688">
            <w:pPr>
              <w:pStyle w:val="BodyText"/>
              <w:rPr>
                <w:rFonts w:ascii="Consolas" w:hAnsi="Consolas"/>
                <w:sz w:val="18"/>
                <w:szCs w:val="18"/>
              </w:rPr>
            </w:pPr>
            <w:r w:rsidRPr="00BB1862">
              <w:rPr>
                <w:rStyle w:val="VerbatimChar"/>
                <w:sz w:val="18"/>
                <w:szCs w:val="18"/>
              </w:rPr>
              <w:t>Emergency response and disaster recovery planning.</w:t>
            </w:r>
          </w:p>
        </w:tc>
        <w:tc>
          <w:tcPr>
            <w:tcW w:w="2268" w:type="dxa"/>
          </w:tcPr>
          <w:p w14:paraId="7A4E172D" w14:textId="63C9466B" w:rsidR="002F117D" w:rsidRPr="00BB1862" w:rsidRDefault="002F117D" w:rsidP="00C92688">
            <w:pPr>
              <w:pStyle w:val="BodyText"/>
              <w:rPr>
                <w:rFonts w:ascii="Consolas" w:hAnsi="Consolas"/>
                <w:sz w:val="18"/>
                <w:szCs w:val="18"/>
              </w:rPr>
            </w:pPr>
            <w:proofErr w:type="spellStart"/>
            <w:r w:rsidRPr="00BB1862">
              <w:rPr>
                <w:rStyle w:val="VerbatimChar"/>
                <w:sz w:val="18"/>
                <w:szCs w:val="18"/>
              </w:rPr>
              <w:t>SecureReach</w:t>
            </w:r>
            <w:proofErr w:type="spellEnd"/>
            <w:r w:rsidRPr="00BB1862">
              <w:rPr>
                <w:rStyle w:val="VerbatimChar"/>
                <w:sz w:val="18"/>
                <w:szCs w:val="18"/>
              </w:rPr>
              <w:t xml:space="preserve"> Property Care </w:t>
            </w:r>
          </w:p>
        </w:tc>
        <w:tc>
          <w:tcPr>
            <w:tcW w:w="1134" w:type="dxa"/>
          </w:tcPr>
          <w:p w14:paraId="20DC09F8" w14:textId="271A8699" w:rsidR="002F117D" w:rsidRPr="00BB1862" w:rsidRDefault="002F117D" w:rsidP="00C92688">
            <w:pPr>
              <w:pStyle w:val="BodyText"/>
              <w:rPr>
                <w:rFonts w:ascii="Consolas" w:hAnsi="Consolas"/>
                <w:sz w:val="18"/>
                <w:szCs w:val="18"/>
              </w:rPr>
            </w:pPr>
            <w:r w:rsidRPr="00BB1862">
              <w:rPr>
                <w:rStyle w:val="VerbatimChar"/>
                <w:sz w:val="18"/>
                <w:szCs w:val="18"/>
              </w:rPr>
              <w:t>8069</w:t>
            </w:r>
          </w:p>
        </w:tc>
      </w:tr>
    </w:tbl>
    <w:p w14:paraId="4880E021" w14:textId="71C34217" w:rsidR="00FA1791" w:rsidRDefault="0087698D" w:rsidP="002F117D">
      <w:pPr>
        <w:pStyle w:val="FirstParagraph"/>
      </w:pPr>
      <w:r>
        <w:t>While it is odd that projects below $10,000 are going through ITQ instead of SVP, ITQ does not have a minimum threshold unlike ITT, hence we will keep these data points for our analysis.</w:t>
      </w:r>
      <w:r w:rsidR="00FA1791">
        <w:br w:type="page"/>
      </w:r>
    </w:p>
    <w:p w14:paraId="33401358" w14:textId="32E17DCC" w:rsidR="00E0440B" w:rsidRDefault="0087698D">
      <w:pPr>
        <w:pStyle w:val="Heading1"/>
      </w:pPr>
      <w:bookmarkStart w:id="3" w:name="general-analysis"/>
      <w:bookmarkEnd w:id="2"/>
      <w:bookmarkEnd w:id="0"/>
      <w:r>
        <w:lastRenderedPageBreak/>
        <w:t>A</w:t>
      </w:r>
      <w:r>
        <w:t>nalysis</w:t>
      </w:r>
    </w:p>
    <w:p w14:paraId="33401359" w14:textId="77777777" w:rsidR="00E0440B" w:rsidRDefault="0087698D">
      <w:pPr>
        <w:pStyle w:val="FirstParagraph"/>
      </w:pPr>
      <w:r>
        <w:t>There are 15 different agencies, 20 different procurement description types, and 98 different suppliers, spread across 6997 different projects.</w:t>
      </w:r>
    </w:p>
    <w:p w14:paraId="3340135A" w14:textId="2CD1838D" w:rsidR="00E0440B" w:rsidRDefault="0087698D">
      <w:pPr>
        <w:pStyle w:val="BodyText"/>
      </w:pPr>
      <w:r>
        <w:t xml:space="preserve">The following are the top </w:t>
      </w:r>
      <w:r w:rsidR="001126D4">
        <w:t>5 and bottom 5</w:t>
      </w:r>
      <w:r>
        <w:t xml:space="preserve"> </w:t>
      </w:r>
      <w:r w:rsidR="001126D4">
        <w:t xml:space="preserve">agencies </w:t>
      </w:r>
      <w:r>
        <w:t>in terms of number of projects.</w:t>
      </w:r>
    </w:p>
    <w:p w14:paraId="73BB7DD9" w14:textId="5E5DBB66" w:rsidR="008C3C06" w:rsidRDefault="0087698D">
      <w:pPr>
        <w:pStyle w:val="SourceCode"/>
        <w:rPr>
          <w:rStyle w:val="VerbatimChar"/>
        </w:rPr>
      </w:pPr>
      <w:r>
        <w:rPr>
          <w:rStyle w:val="VerbatimChar"/>
        </w:rPr>
        <w:t xml:space="preserve">              </w:t>
      </w:r>
      <w:r w:rsidR="004D79FF">
        <w:rPr>
          <w:rStyle w:val="VerbatimChar"/>
        </w:rPr>
        <w:t xml:space="preserve"> </w:t>
      </w:r>
      <w:r>
        <w:rPr>
          <w:rStyle w:val="VerbatimChar"/>
        </w:rPr>
        <w:t xml:space="preserve"> </w:t>
      </w:r>
      <w:r w:rsidRPr="00264353">
        <w:rPr>
          <w:rStyle w:val="VerbatimChar"/>
          <w:b/>
          <w:bCs/>
          <w:sz w:val="24"/>
        </w:rPr>
        <w:t xml:space="preserve">Agency </w:t>
      </w:r>
      <w:r w:rsidR="003D2BE9" w:rsidRPr="00264353">
        <w:rPr>
          <w:rStyle w:val="VerbatimChar"/>
          <w:b/>
          <w:bCs/>
          <w:sz w:val="24"/>
        </w:rPr>
        <w:t xml:space="preserve">                           </w:t>
      </w:r>
      <w:r w:rsidRPr="00264353">
        <w:rPr>
          <w:rStyle w:val="VerbatimChar"/>
          <w:b/>
          <w:bCs/>
          <w:sz w:val="24"/>
        </w:rPr>
        <w:t>Number of Projects</w:t>
      </w:r>
      <w:r>
        <w:br/>
      </w:r>
      <w:r>
        <w:rPr>
          <w:rStyle w:val="VerbatimChar"/>
        </w:rPr>
        <w:t xml:space="preserve">Institute for Social Justice and Equality        </w:t>
      </w:r>
      <w:r w:rsidR="003D2BE9">
        <w:rPr>
          <w:rStyle w:val="VerbatimChar"/>
        </w:rPr>
        <w:t xml:space="preserve">    </w:t>
      </w:r>
      <w:r>
        <w:rPr>
          <w:rStyle w:val="VerbatimChar"/>
        </w:rPr>
        <w:t xml:space="preserve">       1050</w:t>
      </w:r>
      <w:r>
        <w:br/>
      </w:r>
      <w:r>
        <w:rPr>
          <w:rStyle w:val="VerbatimChar"/>
        </w:rPr>
        <w:t xml:space="preserve">Commission for Ethical Governance                </w:t>
      </w:r>
      <w:r w:rsidR="003D2BE9">
        <w:rPr>
          <w:rStyle w:val="VerbatimChar"/>
        </w:rPr>
        <w:t xml:space="preserve">            </w:t>
      </w:r>
      <w:r>
        <w:rPr>
          <w:rStyle w:val="VerbatimChar"/>
        </w:rPr>
        <w:t>916</w:t>
      </w:r>
      <w:r>
        <w:br/>
      </w:r>
      <w:r>
        <w:rPr>
          <w:rStyle w:val="VerbatimChar"/>
        </w:rPr>
        <w:t xml:space="preserve">Agency for Cultural Preservation and Heritage    </w:t>
      </w:r>
      <w:r w:rsidR="003D2BE9">
        <w:rPr>
          <w:rStyle w:val="VerbatimChar"/>
        </w:rPr>
        <w:t xml:space="preserve">    </w:t>
      </w:r>
      <w:r>
        <w:rPr>
          <w:rStyle w:val="VerbatimChar"/>
        </w:rPr>
        <w:t xml:space="preserve">        </w:t>
      </w:r>
      <w:r>
        <w:rPr>
          <w:rStyle w:val="VerbatimChar"/>
        </w:rPr>
        <w:t>586</w:t>
      </w:r>
      <w:r>
        <w:br/>
      </w:r>
      <w:r>
        <w:rPr>
          <w:rStyle w:val="VerbatimChar"/>
        </w:rPr>
        <w:t xml:space="preserve">Office of International Relations and Diplomatic Affairs    </w:t>
      </w:r>
      <w:r>
        <w:rPr>
          <w:rStyle w:val="VerbatimChar"/>
        </w:rPr>
        <w:t xml:space="preserve"> </w:t>
      </w:r>
      <w:r>
        <w:rPr>
          <w:rStyle w:val="VerbatimChar"/>
        </w:rPr>
        <w:t>568</w:t>
      </w:r>
      <w:r>
        <w:br/>
      </w:r>
      <w:r>
        <w:rPr>
          <w:rStyle w:val="VerbatimChar"/>
        </w:rPr>
        <w:t xml:space="preserve">National Commission for Space Exploration </w:t>
      </w:r>
      <w:r>
        <w:rPr>
          <w:rStyle w:val="VerbatimChar"/>
        </w:rPr>
        <w:t xml:space="preserve">           </w:t>
      </w:r>
      <w:r w:rsidR="003D2BE9">
        <w:rPr>
          <w:rStyle w:val="VerbatimChar"/>
        </w:rPr>
        <w:t xml:space="preserve">    </w:t>
      </w:r>
      <w:r>
        <w:rPr>
          <w:rStyle w:val="VerbatimChar"/>
        </w:rPr>
        <w:t xml:space="preserve">    555</w:t>
      </w:r>
    </w:p>
    <w:p w14:paraId="498B61E1" w14:textId="72169EFC" w:rsidR="00725AF7" w:rsidRDefault="008C3C06" w:rsidP="00725AF7">
      <w:pPr>
        <w:pStyle w:val="SourceCode"/>
      </w:pPr>
      <w:r>
        <w:rPr>
          <w:rStyle w:val="VerbatimChar"/>
        </w:rPr>
        <w:t>National Cybersecurity Task Force</w:t>
      </w:r>
      <w:r w:rsidR="0087698D">
        <w:rPr>
          <w:rStyle w:val="VerbatimChar"/>
        </w:rPr>
        <w:t xml:space="preserve">                </w:t>
      </w:r>
      <w:r w:rsidR="00725AF7">
        <w:rPr>
          <w:rStyle w:val="VerbatimChar"/>
        </w:rPr>
        <w:t xml:space="preserve">            326</w:t>
      </w:r>
      <w:r w:rsidR="0087698D">
        <w:br/>
      </w:r>
      <w:r>
        <w:rPr>
          <w:rStyle w:val="VerbatimChar"/>
        </w:rPr>
        <w:t>Bureau of National Security and Inte</w:t>
      </w:r>
      <w:r w:rsidR="000F2554">
        <w:rPr>
          <w:rStyle w:val="VerbatimChar"/>
        </w:rPr>
        <w:t>lligence</w:t>
      </w:r>
      <w:r w:rsidR="0087698D">
        <w:rPr>
          <w:rStyle w:val="VerbatimChar"/>
        </w:rPr>
        <w:t xml:space="preserve">             </w:t>
      </w:r>
      <w:r w:rsidR="003D2BE9">
        <w:rPr>
          <w:rStyle w:val="VerbatimChar"/>
        </w:rPr>
        <w:t xml:space="preserve">    </w:t>
      </w:r>
      <w:r w:rsidR="00725AF7">
        <w:rPr>
          <w:rStyle w:val="VerbatimChar"/>
        </w:rPr>
        <w:t>277</w:t>
      </w:r>
      <w:r w:rsidR="0087698D">
        <w:br/>
      </w:r>
      <w:r w:rsidR="00725AF7">
        <w:rPr>
          <w:rStyle w:val="VerbatimChar"/>
        </w:rPr>
        <w:t>Office of Public Safety and Emergency Management</w:t>
      </w:r>
      <w:r w:rsidR="0087698D">
        <w:rPr>
          <w:rStyle w:val="VerbatimChar"/>
        </w:rPr>
        <w:t xml:space="preserve">         </w:t>
      </w:r>
      <w:r w:rsidR="003D2BE9">
        <w:rPr>
          <w:rStyle w:val="VerbatimChar"/>
        </w:rPr>
        <w:t xml:space="preserve"> </w:t>
      </w:r>
      <w:r w:rsidR="0087698D">
        <w:rPr>
          <w:rStyle w:val="VerbatimChar"/>
        </w:rPr>
        <w:t xml:space="preserve">   </w:t>
      </w:r>
      <w:r w:rsidR="001126D4">
        <w:rPr>
          <w:rStyle w:val="VerbatimChar"/>
        </w:rPr>
        <w:t>2</w:t>
      </w:r>
      <w:r w:rsidR="00725AF7">
        <w:rPr>
          <w:rStyle w:val="VerbatimChar"/>
        </w:rPr>
        <w:t>00</w:t>
      </w:r>
      <w:r w:rsidR="0087698D">
        <w:br/>
      </w:r>
      <w:r w:rsidR="00725AF7">
        <w:rPr>
          <w:rStyle w:val="VerbatimChar"/>
        </w:rPr>
        <w:t>Bureau of Urban Development and Infrastructure</w:t>
      </w:r>
      <w:r w:rsidR="0087698D">
        <w:rPr>
          <w:rStyle w:val="VerbatimChar"/>
        </w:rPr>
        <w:t xml:space="preserve">        </w:t>
      </w:r>
      <w:r w:rsidR="0087698D">
        <w:rPr>
          <w:rStyle w:val="VerbatimChar"/>
        </w:rPr>
        <w:t xml:space="preserve"> </w:t>
      </w:r>
      <w:r w:rsidR="001126D4">
        <w:rPr>
          <w:rStyle w:val="VerbatimChar"/>
        </w:rPr>
        <w:t xml:space="preserve">      </w:t>
      </w:r>
      <w:r w:rsidR="00725AF7">
        <w:rPr>
          <w:rStyle w:val="VerbatimChar"/>
        </w:rPr>
        <w:t>139</w:t>
      </w:r>
      <w:r w:rsidR="0087698D">
        <w:br/>
      </w:r>
      <w:r w:rsidR="00725AF7">
        <w:rPr>
          <w:rStyle w:val="VerbatimChar"/>
        </w:rPr>
        <w:t>Department of Public Health and Disease Control</w:t>
      </w:r>
      <w:r w:rsidR="0087698D">
        <w:rPr>
          <w:rStyle w:val="VerbatimChar"/>
        </w:rPr>
        <w:t xml:space="preserve">              </w:t>
      </w:r>
      <w:r w:rsidR="00725AF7">
        <w:rPr>
          <w:rStyle w:val="VerbatimChar"/>
        </w:rPr>
        <w:t>115</w:t>
      </w:r>
    </w:p>
    <w:p w14:paraId="3340135C" w14:textId="72DAC1E0" w:rsidR="00E0440B" w:rsidRDefault="0087698D">
      <w:pPr>
        <w:pStyle w:val="FirstParagraph"/>
      </w:pPr>
      <w:r>
        <w:t xml:space="preserve">The following are the top </w:t>
      </w:r>
      <w:r w:rsidR="001126D4">
        <w:t>5 and bottom 5</w:t>
      </w:r>
      <w:r>
        <w:t xml:space="preserve"> suppliers in terms of number of projects.</w:t>
      </w:r>
    </w:p>
    <w:p w14:paraId="745FB8DB" w14:textId="77777777" w:rsidR="000E4AB1" w:rsidRDefault="00F53752">
      <w:pPr>
        <w:pStyle w:val="SourceCode"/>
        <w:rPr>
          <w:rStyle w:val="VerbatimChar"/>
        </w:rPr>
      </w:pPr>
      <w:r w:rsidRPr="00BB6BE3">
        <w:rPr>
          <w:rStyle w:val="VerbatimChar"/>
          <w:b/>
          <w:bCs/>
          <w:sz w:val="24"/>
        </w:rPr>
        <w:t xml:space="preserve">  </w:t>
      </w:r>
      <w:r w:rsidR="0087698D" w:rsidRPr="00BB6BE3">
        <w:rPr>
          <w:rStyle w:val="VerbatimChar"/>
          <w:b/>
          <w:bCs/>
          <w:sz w:val="24"/>
        </w:rPr>
        <w:t xml:space="preserve">      </w:t>
      </w:r>
      <w:r w:rsidR="0087698D" w:rsidRPr="00BB6BE3">
        <w:rPr>
          <w:rStyle w:val="VerbatimChar"/>
          <w:b/>
          <w:bCs/>
          <w:sz w:val="24"/>
        </w:rPr>
        <w:t xml:space="preserve">Supplier </w:t>
      </w:r>
      <w:r w:rsidRPr="00BB6BE3">
        <w:rPr>
          <w:rStyle w:val="VerbatimChar"/>
          <w:b/>
          <w:bCs/>
          <w:sz w:val="24"/>
        </w:rPr>
        <w:t xml:space="preserve">               </w:t>
      </w:r>
      <w:r w:rsidR="0087698D" w:rsidRPr="00BB6BE3">
        <w:rPr>
          <w:rStyle w:val="VerbatimChar"/>
          <w:b/>
          <w:bCs/>
          <w:sz w:val="24"/>
        </w:rPr>
        <w:t>Number of Projects</w:t>
      </w:r>
      <w:r w:rsidR="0087698D">
        <w:br/>
      </w:r>
      <w:proofErr w:type="spellStart"/>
      <w:r w:rsidR="0087698D">
        <w:rPr>
          <w:rStyle w:val="VerbatimChar"/>
        </w:rPr>
        <w:t>InfiniteSpace</w:t>
      </w:r>
      <w:proofErr w:type="spellEnd"/>
      <w:r w:rsidR="0087698D">
        <w:rPr>
          <w:rStyle w:val="VerbatimChar"/>
        </w:rPr>
        <w:t xml:space="preserve"> Building Solutions          </w:t>
      </w:r>
      <w:r w:rsidR="0087698D">
        <w:rPr>
          <w:rStyle w:val="VerbatimChar"/>
        </w:rPr>
        <w:t>238</w:t>
      </w:r>
      <w:r w:rsidR="0087698D">
        <w:br/>
      </w:r>
      <w:proofErr w:type="spellStart"/>
      <w:r w:rsidR="0087698D">
        <w:rPr>
          <w:rStyle w:val="VerbatimChar"/>
        </w:rPr>
        <w:t>InfiniteGuard</w:t>
      </w:r>
      <w:proofErr w:type="spellEnd"/>
      <w:r w:rsidR="0087698D">
        <w:rPr>
          <w:rStyle w:val="VerbatimChar"/>
        </w:rPr>
        <w:t xml:space="preserve"> Building Care               </w:t>
      </w:r>
      <w:r w:rsidR="0087698D">
        <w:rPr>
          <w:rStyle w:val="VerbatimChar"/>
        </w:rPr>
        <w:t>225</w:t>
      </w:r>
      <w:r w:rsidR="0087698D">
        <w:br/>
      </w:r>
      <w:proofErr w:type="spellStart"/>
      <w:r w:rsidR="0087698D">
        <w:rPr>
          <w:rStyle w:val="VerbatimChar"/>
        </w:rPr>
        <w:t>SecureSpace</w:t>
      </w:r>
      <w:proofErr w:type="spellEnd"/>
      <w:r w:rsidR="0087698D">
        <w:rPr>
          <w:rStyle w:val="VerbatimChar"/>
        </w:rPr>
        <w:t xml:space="preserve"> Management                </w:t>
      </w:r>
      <w:r>
        <w:rPr>
          <w:rStyle w:val="VerbatimChar"/>
        </w:rPr>
        <w:t xml:space="preserve">    </w:t>
      </w:r>
      <w:r w:rsidR="0087698D">
        <w:rPr>
          <w:rStyle w:val="VerbatimChar"/>
        </w:rPr>
        <w:t>177</w:t>
      </w:r>
      <w:r w:rsidR="0087698D">
        <w:br/>
      </w:r>
      <w:proofErr w:type="spellStart"/>
      <w:r w:rsidR="0087698D">
        <w:rPr>
          <w:rStyle w:val="VerbatimChar"/>
        </w:rPr>
        <w:t>ApexGuard</w:t>
      </w:r>
      <w:proofErr w:type="spellEnd"/>
      <w:r w:rsidR="0087698D">
        <w:rPr>
          <w:rStyle w:val="VerbatimChar"/>
        </w:rPr>
        <w:t xml:space="preserve"> Facility Services               </w:t>
      </w:r>
      <w:r w:rsidR="0087698D">
        <w:rPr>
          <w:rStyle w:val="VerbatimChar"/>
        </w:rPr>
        <w:t>163</w:t>
      </w:r>
      <w:r w:rsidR="0087698D">
        <w:br/>
      </w:r>
      <w:r w:rsidR="0087698D">
        <w:rPr>
          <w:rStyle w:val="VerbatimChar"/>
        </w:rPr>
        <w:t xml:space="preserve">GreenWave Facilities Management           </w:t>
      </w:r>
      <w:r w:rsidR="0087698D">
        <w:rPr>
          <w:rStyle w:val="VerbatimChar"/>
        </w:rPr>
        <w:t>135</w:t>
      </w:r>
    </w:p>
    <w:p w14:paraId="3340135D" w14:textId="26B8461B" w:rsidR="00E0440B" w:rsidRDefault="0087698D">
      <w:pPr>
        <w:pStyle w:val="SourceCode"/>
      </w:pPr>
      <w:r>
        <w:br/>
      </w:r>
      <w:proofErr w:type="spellStart"/>
      <w:r w:rsidR="000E4AB1">
        <w:rPr>
          <w:rStyle w:val="VerbatimChar"/>
        </w:rPr>
        <w:t>HighWave</w:t>
      </w:r>
      <w:proofErr w:type="spellEnd"/>
      <w:r w:rsidR="000E4AB1">
        <w:rPr>
          <w:rStyle w:val="VerbatimChar"/>
        </w:rPr>
        <w:t xml:space="preserve"> Building Solutions</w:t>
      </w:r>
      <w:r>
        <w:rPr>
          <w:rStyle w:val="VerbatimChar"/>
        </w:rPr>
        <w:t xml:space="preserve">                </w:t>
      </w:r>
      <w:r w:rsidR="000E4AB1">
        <w:rPr>
          <w:rStyle w:val="VerbatimChar"/>
        </w:rPr>
        <w:t>43</w:t>
      </w:r>
      <w:r>
        <w:br/>
      </w:r>
      <w:proofErr w:type="spellStart"/>
      <w:r w:rsidR="000E4AB1">
        <w:rPr>
          <w:rStyle w:val="VerbatimChar"/>
        </w:rPr>
        <w:t>CleanHarbour</w:t>
      </w:r>
      <w:proofErr w:type="spellEnd"/>
      <w:r w:rsidR="000E4AB1">
        <w:rPr>
          <w:rStyle w:val="VerbatimChar"/>
        </w:rPr>
        <w:t xml:space="preserve"> Facility Care</w:t>
      </w:r>
      <w:r>
        <w:rPr>
          <w:rStyle w:val="VerbatimChar"/>
        </w:rPr>
        <w:t xml:space="preserve">                </w:t>
      </w:r>
      <w:r w:rsidR="00F53752">
        <w:rPr>
          <w:rStyle w:val="VerbatimChar"/>
        </w:rPr>
        <w:t xml:space="preserve"> </w:t>
      </w:r>
      <w:r w:rsidR="000E4AB1">
        <w:rPr>
          <w:rStyle w:val="VerbatimChar"/>
        </w:rPr>
        <w:t>42</w:t>
      </w:r>
      <w:r>
        <w:br/>
      </w:r>
      <w:proofErr w:type="spellStart"/>
      <w:r w:rsidR="000E4AB1">
        <w:rPr>
          <w:rStyle w:val="VerbatimChar"/>
        </w:rPr>
        <w:t>SecureTech</w:t>
      </w:r>
      <w:proofErr w:type="spellEnd"/>
      <w:r w:rsidR="000E4AB1">
        <w:rPr>
          <w:rStyle w:val="VerbatimChar"/>
        </w:rPr>
        <w:t xml:space="preserve"> Building Solutions</w:t>
      </w:r>
      <w:r>
        <w:rPr>
          <w:rStyle w:val="VerbatimChar"/>
        </w:rPr>
        <w:t xml:space="preserve">            </w:t>
      </w:r>
      <w:r w:rsidR="000E4AB1">
        <w:rPr>
          <w:rStyle w:val="VerbatimChar"/>
        </w:rPr>
        <w:t xml:space="preserve">  42</w:t>
      </w:r>
      <w:r>
        <w:br/>
      </w:r>
      <w:r w:rsidR="000E4AB1">
        <w:rPr>
          <w:rStyle w:val="VerbatimChar"/>
        </w:rPr>
        <w:t>StarTech Facility Solutions</w:t>
      </w:r>
      <w:r>
        <w:rPr>
          <w:rStyle w:val="VerbatimChar"/>
        </w:rPr>
        <w:t xml:space="preserve">                </w:t>
      </w:r>
      <w:r w:rsidR="000E4AB1">
        <w:rPr>
          <w:rStyle w:val="VerbatimChar"/>
        </w:rPr>
        <w:t>42</w:t>
      </w:r>
      <w:r>
        <w:br/>
      </w:r>
      <w:proofErr w:type="spellStart"/>
      <w:r w:rsidR="000E4AB1">
        <w:rPr>
          <w:rStyle w:val="VerbatimChar"/>
        </w:rPr>
        <w:t>SwiftTech</w:t>
      </w:r>
      <w:proofErr w:type="spellEnd"/>
      <w:r w:rsidR="000E4AB1">
        <w:rPr>
          <w:rStyle w:val="VerbatimChar"/>
        </w:rPr>
        <w:t xml:space="preserve"> Facility Solutions</w:t>
      </w:r>
      <w:r>
        <w:rPr>
          <w:rStyle w:val="VerbatimChar"/>
        </w:rPr>
        <w:t xml:space="preserve">               </w:t>
      </w:r>
      <w:r>
        <w:rPr>
          <w:rStyle w:val="VerbatimChar"/>
        </w:rPr>
        <w:t>1</w:t>
      </w:r>
      <w:r w:rsidR="000E4AB1">
        <w:rPr>
          <w:rStyle w:val="VerbatimChar"/>
        </w:rPr>
        <w:t>7</w:t>
      </w:r>
    </w:p>
    <w:tbl>
      <w:tblPr>
        <w:tblW w:w="794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3972"/>
        <w:gridCol w:w="3972"/>
      </w:tblGrid>
      <w:tr w:rsidR="000E4AB1" w:rsidRPr="000E4AB1" w14:paraId="06E3EEB5" w14:textId="77777777" w:rsidTr="000E4AB1">
        <w:trPr>
          <w:tblCellSpacing w:w="0" w:type="dxa"/>
        </w:trPr>
        <w:tc>
          <w:tcPr>
            <w:tcW w:w="0" w:type="auto"/>
            <w:gridSpan w:val="2"/>
            <w:shd w:val="clear" w:color="auto" w:fill="FFFFFF"/>
            <w:vAlign w:val="center"/>
            <w:hideMark/>
          </w:tcPr>
          <w:p w14:paraId="5C320B2F" w14:textId="77777777" w:rsidR="000E4AB1" w:rsidRPr="000E4AB1" w:rsidRDefault="000E4AB1" w:rsidP="000E4AB1">
            <w:pPr>
              <w:spacing w:after="0"/>
              <w:rPr>
                <w:rFonts w:ascii="Times New Roman" w:eastAsia="Times New Roman" w:hAnsi="Times New Roman" w:cs="Times New Roman"/>
                <w:lang w:val="en-SG" w:eastAsia="zh-CN" w:bidi="th-TH"/>
              </w:rPr>
            </w:pPr>
          </w:p>
        </w:tc>
      </w:tr>
      <w:tr w:rsidR="000E4AB1" w:rsidRPr="000E4AB1" w14:paraId="148DD90F" w14:textId="77777777" w:rsidTr="000E4AB1">
        <w:trPr>
          <w:tblCellSpacing w:w="0" w:type="dxa"/>
        </w:trPr>
        <w:tc>
          <w:tcPr>
            <w:tcW w:w="0" w:type="auto"/>
            <w:shd w:val="clear" w:color="auto" w:fill="FFFFFF"/>
            <w:noWrap/>
            <w:tcMar>
              <w:top w:w="30" w:type="dxa"/>
              <w:left w:w="90" w:type="dxa"/>
              <w:bottom w:w="30" w:type="dxa"/>
              <w:right w:w="90" w:type="dxa"/>
            </w:tcMar>
            <w:vAlign w:val="center"/>
            <w:hideMark/>
          </w:tcPr>
          <w:p w14:paraId="2F7A9C72" w14:textId="77777777" w:rsidR="000E4AB1" w:rsidRPr="000E4AB1" w:rsidRDefault="000E4AB1" w:rsidP="000E4AB1">
            <w:pPr>
              <w:spacing w:after="0"/>
              <w:ind w:right="400"/>
              <w:rPr>
                <w:rFonts w:ascii="Lucida Sans" w:eastAsia="Times New Roman" w:hAnsi="Lucida Sans" w:cs="Times New Roman"/>
                <w:color w:val="000000"/>
                <w:sz w:val="20"/>
                <w:szCs w:val="20"/>
                <w:lang w:val="en-SG" w:eastAsia="zh-CN" w:bidi="th-TH"/>
              </w:rPr>
            </w:pPr>
          </w:p>
        </w:tc>
        <w:tc>
          <w:tcPr>
            <w:tcW w:w="0" w:type="auto"/>
            <w:shd w:val="clear" w:color="auto" w:fill="FFFFFF"/>
            <w:noWrap/>
            <w:tcMar>
              <w:top w:w="30" w:type="dxa"/>
              <w:left w:w="90" w:type="dxa"/>
              <w:bottom w:w="30" w:type="dxa"/>
              <w:right w:w="90" w:type="dxa"/>
            </w:tcMar>
            <w:vAlign w:val="center"/>
            <w:hideMark/>
          </w:tcPr>
          <w:p w14:paraId="0DD08BBF" w14:textId="77777777" w:rsidR="000E4AB1" w:rsidRPr="000E4AB1" w:rsidRDefault="000E4AB1" w:rsidP="000E4AB1">
            <w:pPr>
              <w:spacing w:after="0"/>
              <w:rPr>
                <w:rFonts w:ascii="Times New Roman" w:eastAsia="Times New Roman" w:hAnsi="Times New Roman" w:cs="Times New Roman"/>
                <w:sz w:val="20"/>
                <w:szCs w:val="20"/>
                <w:lang w:val="en-SG" w:eastAsia="zh-CN" w:bidi="th-TH"/>
              </w:rPr>
            </w:pPr>
          </w:p>
        </w:tc>
      </w:tr>
      <w:tr w:rsidR="000E4AB1" w:rsidRPr="000E4AB1" w14:paraId="7254A19E" w14:textId="77777777" w:rsidTr="000E4AB1">
        <w:trPr>
          <w:tblCellSpacing w:w="0" w:type="dxa"/>
        </w:trPr>
        <w:tc>
          <w:tcPr>
            <w:tcW w:w="0" w:type="auto"/>
            <w:shd w:val="clear" w:color="auto" w:fill="FFFFFF"/>
            <w:noWrap/>
            <w:tcMar>
              <w:top w:w="30" w:type="dxa"/>
              <w:left w:w="90" w:type="dxa"/>
              <w:bottom w:w="30" w:type="dxa"/>
              <w:right w:w="90" w:type="dxa"/>
            </w:tcMar>
            <w:vAlign w:val="center"/>
            <w:hideMark/>
          </w:tcPr>
          <w:p w14:paraId="1AAC1062" w14:textId="77777777" w:rsidR="000E4AB1" w:rsidRPr="000E4AB1" w:rsidRDefault="000E4AB1" w:rsidP="000E4AB1">
            <w:pPr>
              <w:spacing w:after="0"/>
              <w:jc w:val="right"/>
              <w:rPr>
                <w:rFonts w:ascii="Lucida Sans" w:eastAsia="Times New Roman" w:hAnsi="Lucida Sans" w:cs="Times New Roman"/>
                <w:color w:val="000000"/>
                <w:sz w:val="20"/>
                <w:szCs w:val="20"/>
                <w:lang w:val="en-SG" w:eastAsia="zh-CN" w:bidi="th-TH"/>
              </w:rPr>
            </w:pPr>
          </w:p>
        </w:tc>
        <w:tc>
          <w:tcPr>
            <w:tcW w:w="0" w:type="auto"/>
            <w:shd w:val="clear" w:color="auto" w:fill="FFFFFF"/>
            <w:noWrap/>
            <w:tcMar>
              <w:top w:w="30" w:type="dxa"/>
              <w:left w:w="90" w:type="dxa"/>
              <w:bottom w:w="30" w:type="dxa"/>
              <w:right w:w="90" w:type="dxa"/>
            </w:tcMar>
            <w:vAlign w:val="center"/>
            <w:hideMark/>
          </w:tcPr>
          <w:p w14:paraId="55FD528C" w14:textId="77777777" w:rsidR="000E4AB1" w:rsidRPr="000E4AB1" w:rsidRDefault="000E4AB1" w:rsidP="000E4AB1">
            <w:pPr>
              <w:spacing w:after="0"/>
              <w:rPr>
                <w:rFonts w:ascii="Times New Roman" w:eastAsia="Times New Roman" w:hAnsi="Times New Roman" w:cs="Times New Roman"/>
                <w:sz w:val="20"/>
                <w:szCs w:val="20"/>
                <w:lang w:val="en-SG" w:eastAsia="zh-CN" w:bidi="th-TH"/>
              </w:rPr>
            </w:pPr>
          </w:p>
        </w:tc>
      </w:tr>
      <w:tr w:rsidR="000E4AB1" w:rsidRPr="000E4AB1" w14:paraId="35C8D646" w14:textId="77777777" w:rsidTr="000E4AB1">
        <w:trPr>
          <w:tblCellSpacing w:w="0" w:type="dxa"/>
        </w:trPr>
        <w:tc>
          <w:tcPr>
            <w:tcW w:w="0" w:type="auto"/>
            <w:shd w:val="clear" w:color="auto" w:fill="FFFFFF"/>
            <w:noWrap/>
            <w:tcMar>
              <w:top w:w="30" w:type="dxa"/>
              <w:left w:w="90" w:type="dxa"/>
              <w:bottom w:w="30" w:type="dxa"/>
              <w:right w:w="90" w:type="dxa"/>
            </w:tcMar>
            <w:vAlign w:val="center"/>
            <w:hideMark/>
          </w:tcPr>
          <w:p w14:paraId="5FFC44E0" w14:textId="77777777" w:rsidR="000E4AB1" w:rsidRPr="000E4AB1" w:rsidRDefault="000E4AB1" w:rsidP="000E4AB1">
            <w:pPr>
              <w:spacing w:after="0"/>
              <w:jc w:val="right"/>
              <w:rPr>
                <w:rFonts w:ascii="Lucida Sans" w:eastAsia="Times New Roman" w:hAnsi="Lucida Sans" w:cs="Times New Roman"/>
                <w:color w:val="000000"/>
                <w:sz w:val="20"/>
                <w:szCs w:val="20"/>
                <w:lang w:val="en-SG" w:eastAsia="zh-CN" w:bidi="th-TH"/>
              </w:rPr>
            </w:pPr>
          </w:p>
        </w:tc>
        <w:tc>
          <w:tcPr>
            <w:tcW w:w="0" w:type="auto"/>
            <w:shd w:val="clear" w:color="auto" w:fill="FFFFFF"/>
            <w:noWrap/>
            <w:tcMar>
              <w:top w:w="30" w:type="dxa"/>
              <w:left w:w="90" w:type="dxa"/>
              <w:bottom w:w="30" w:type="dxa"/>
              <w:right w:w="90" w:type="dxa"/>
            </w:tcMar>
            <w:vAlign w:val="center"/>
            <w:hideMark/>
          </w:tcPr>
          <w:p w14:paraId="6BEB1D1D" w14:textId="77777777" w:rsidR="000E4AB1" w:rsidRPr="000E4AB1" w:rsidRDefault="000E4AB1" w:rsidP="000E4AB1">
            <w:pPr>
              <w:spacing w:after="0"/>
              <w:rPr>
                <w:rFonts w:ascii="Times New Roman" w:eastAsia="Times New Roman" w:hAnsi="Times New Roman" w:cs="Times New Roman"/>
                <w:sz w:val="20"/>
                <w:szCs w:val="20"/>
                <w:lang w:val="en-SG" w:eastAsia="zh-CN" w:bidi="th-TH"/>
              </w:rPr>
            </w:pPr>
          </w:p>
        </w:tc>
      </w:tr>
      <w:tr w:rsidR="000E4AB1" w:rsidRPr="000E4AB1" w14:paraId="3E4242D0" w14:textId="77777777" w:rsidTr="000E4AB1">
        <w:trPr>
          <w:tblCellSpacing w:w="0" w:type="dxa"/>
        </w:trPr>
        <w:tc>
          <w:tcPr>
            <w:tcW w:w="0" w:type="auto"/>
            <w:shd w:val="clear" w:color="auto" w:fill="FFFFFF"/>
            <w:noWrap/>
            <w:tcMar>
              <w:top w:w="30" w:type="dxa"/>
              <w:left w:w="90" w:type="dxa"/>
              <w:bottom w:w="30" w:type="dxa"/>
              <w:right w:w="90" w:type="dxa"/>
            </w:tcMar>
            <w:vAlign w:val="center"/>
            <w:hideMark/>
          </w:tcPr>
          <w:p w14:paraId="222D3134" w14:textId="77777777" w:rsidR="000E4AB1" w:rsidRPr="000E4AB1" w:rsidRDefault="000E4AB1" w:rsidP="000E4AB1">
            <w:pPr>
              <w:spacing w:after="0"/>
              <w:jc w:val="right"/>
              <w:rPr>
                <w:rFonts w:ascii="Lucida Sans" w:eastAsia="Times New Roman" w:hAnsi="Lucida Sans" w:cs="Times New Roman"/>
                <w:color w:val="000000"/>
                <w:sz w:val="20"/>
                <w:szCs w:val="20"/>
                <w:lang w:val="en-SG" w:eastAsia="zh-CN" w:bidi="th-TH"/>
              </w:rPr>
            </w:pPr>
          </w:p>
        </w:tc>
        <w:tc>
          <w:tcPr>
            <w:tcW w:w="0" w:type="auto"/>
            <w:shd w:val="clear" w:color="auto" w:fill="FFFFFF"/>
            <w:noWrap/>
            <w:tcMar>
              <w:top w:w="30" w:type="dxa"/>
              <w:left w:w="90" w:type="dxa"/>
              <w:bottom w:w="30" w:type="dxa"/>
              <w:right w:w="90" w:type="dxa"/>
            </w:tcMar>
            <w:vAlign w:val="center"/>
            <w:hideMark/>
          </w:tcPr>
          <w:p w14:paraId="3AC54DB1" w14:textId="77777777" w:rsidR="000E4AB1" w:rsidRPr="000E4AB1" w:rsidRDefault="000E4AB1" w:rsidP="000E4AB1">
            <w:pPr>
              <w:spacing w:after="0"/>
              <w:rPr>
                <w:rFonts w:ascii="Times New Roman" w:eastAsia="Times New Roman" w:hAnsi="Times New Roman" w:cs="Times New Roman"/>
                <w:sz w:val="20"/>
                <w:szCs w:val="20"/>
                <w:lang w:val="en-SG" w:eastAsia="zh-CN" w:bidi="th-TH"/>
              </w:rPr>
            </w:pPr>
          </w:p>
        </w:tc>
      </w:tr>
      <w:tr w:rsidR="000E4AB1" w:rsidRPr="000E4AB1" w14:paraId="2DAD0937" w14:textId="77777777" w:rsidTr="000E4AB1">
        <w:trPr>
          <w:tblCellSpacing w:w="0" w:type="dxa"/>
        </w:trPr>
        <w:tc>
          <w:tcPr>
            <w:tcW w:w="0" w:type="auto"/>
            <w:shd w:val="clear" w:color="auto" w:fill="FFFFFF"/>
            <w:vAlign w:val="center"/>
            <w:hideMark/>
          </w:tcPr>
          <w:p w14:paraId="34F3BCE1" w14:textId="77777777" w:rsidR="000E4AB1" w:rsidRPr="000E4AB1" w:rsidRDefault="000E4AB1" w:rsidP="000E4AB1">
            <w:pPr>
              <w:spacing w:after="0"/>
              <w:rPr>
                <w:rFonts w:ascii="Times New Roman" w:eastAsia="Times New Roman" w:hAnsi="Times New Roman" w:cs="Times New Roman"/>
                <w:sz w:val="20"/>
                <w:szCs w:val="20"/>
                <w:lang w:val="en-SG" w:eastAsia="zh-CN" w:bidi="th-TH"/>
              </w:rPr>
            </w:pPr>
          </w:p>
        </w:tc>
        <w:tc>
          <w:tcPr>
            <w:tcW w:w="0" w:type="auto"/>
            <w:shd w:val="clear" w:color="auto" w:fill="FFFFFF"/>
            <w:vAlign w:val="center"/>
            <w:hideMark/>
          </w:tcPr>
          <w:p w14:paraId="05A1DD22" w14:textId="77777777" w:rsidR="000E4AB1" w:rsidRPr="000E4AB1" w:rsidRDefault="000E4AB1" w:rsidP="000E4AB1">
            <w:pPr>
              <w:spacing w:after="0"/>
              <w:rPr>
                <w:rFonts w:ascii="Times New Roman" w:eastAsia="Times New Roman" w:hAnsi="Times New Roman" w:cs="Times New Roman"/>
                <w:sz w:val="20"/>
                <w:szCs w:val="20"/>
                <w:lang w:val="en-SG" w:eastAsia="zh-CN" w:bidi="th-TH"/>
              </w:rPr>
            </w:pPr>
          </w:p>
        </w:tc>
      </w:tr>
    </w:tbl>
    <w:p w14:paraId="3340135E" w14:textId="24297931" w:rsidR="00E0440B" w:rsidRDefault="0087698D">
      <w:pPr>
        <w:pStyle w:val="FirstParagraph"/>
      </w:pPr>
      <w:r>
        <w:t>We also observe that the median amount awarded is $240,989, and the mean is $250,870.</w:t>
      </w:r>
      <w:r w:rsidR="00ED3BB2">
        <w:t xml:space="preserve"> </w:t>
      </w:r>
      <w:r>
        <w:t>It is also interesting that the maximum amount awarded is very much higher than the 3rd quartile, at over $3.7 million.</w:t>
      </w:r>
    </w:p>
    <w:p w14:paraId="3340135F" w14:textId="77777777" w:rsidR="00E0440B" w:rsidRDefault="0087698D">
      <w:pPr>
        <w:pStyle w:val="SourceCode"/>
      </w:pPr>
      <w:r>
        <w:rPr>
          <w:rStyle w:val="VerbatimChar"/>
        </w:rPr>
        <w:t xml:space="preserve">##    Min. 1st Qu.  Median    Mean 3rd Qu.    Max. </w:t>
      </w:r>
      <w:r>
        <w:br/>
      </w:r>
      <w:r>
        <w:rPr>
          <w:rStyle w:val="VerbatimChar"/>
        </w:rPr>
        <w:t xml:space="preserve">##    </w:t>
      </w:r>
      <w:proofErr w:type="gramStart"/>
      <w:r>
        <w:rPr>
          <w:rStyle w:val="VerbatimChar"/>
        </w:rPr>
        <w:t>8069  120509</w:t>
      </w:r>
      <w:proofErr w:type="gramEnd"/>
      <w:r>
        <w:rPr>
          <w:rStyle w:val="VerbatimChar"/>
        </w:rPr>
        <w:t xml:space="preserve">  </w:t>
      </w:r>
      <w:r w:rsidRPr="005F0184">
        <w:rPr>
          <w:rStyle w:val="VerbatimChar"/>
          <w:b/>
          <w:bCs/>
          <w:highlight w:val="yellow"/>
        </w:rPr>
        <w:t>240989</w:t>
      </w:r>
      <w:r w:rsidRPr="005F0184">
        <w:rPr>
          <w:rStyle w:val="VerbatimChar"/>
          <w:b/>
          <w:bCs/>
        </w:rPr>
        <w:t xml:space="preserve"> </w:t>
      </w:r>
      <w:r>
        <w:rPr>
          <w:rStyle w:val="VerbatimChar"/>
        </w:rPr>
        <w:t xml:space="preserve"> 250870  365022 </w:t>
      </w:r>
      <w:r w:rsidRPr="005F0184">
        <w:rPr>
          <w:rStyle w:val="VerbatimChar"/>
          <w:b/>
          <w:bCs/>
          <w:highlight w:val="yellow"/>
        </w:rPr>
        <w:t>3773118</w:t>
      </w:r>
    </w:p>
    <w:p w14:paraId="7B43D62F" w14:textId="77777777" w:rsidR="00CF7491" w:rsidRDefault="00CF7491">
      <w:pPr>
        <w:pStyle w:val="FirstParagraph"/>
      </w:pPr>
    </w:p>
    <w:p w14:paraId="72EC12FB" w14:textId="77777777" w:rsidR="00CF7491" w:rsidRDefault="00CF7491">
      <w:pPr>
        <w:pStyle w:val="FirstParagraph"/>
      </w:pPr>
    </w:p>
    <w:p w14:paraId="7287D1AD" w14:textId="77777777" w:rsidR="00CF7491" w:rsidRDefault="00CF7491">
      <w:pPr>
        <w:pStyle w:val="FirstParagraph"/>
      </w:pPr>
    </w:p>
    <w:p w14:paraId="58A3CBCE" w14:textId="77777777" w:rsidR="00CF7491" w:rsidRDefault="00CF7491">
      <w:pPr>
        <w:pStyle w:val="FirstParagraph"/>
      </w:pPr>
    </w:p>
    <w:p w14:paraId="33401360" w14:textId="0AA43577" w:rsidR="00E0440B" w:rsidRDefault="0087698D">
      <w:pPr>
        <w:pStyle w:val="FirstParagraph"/>
      </w:pPr>
      <w:r>
        <w:lastRenderedPageBreak/>
        <w:t>There are 5 projects that go above $1 million in amount awarded. These are overly represented by the Bureau of Urban Development and Infrastructure as the procurement agency, at 4 out of the 5 projects.</w:t>
      </w:r>
    </w:p>
    <w:tbl>
      <w:tblPr>
        <w:tblStyle w:val="TableGrid"/>
        <w:tblW w:w="11199" w:type="dxa"/>
        <w:tblInd w:w="-743" w:type="dxa"/>
        <w:tblLook w:val="04A0" w:firstRow="1" w:lastRow="0" w:firstColumn="1" w:lastColumn="0" w:noHBand="0" w:noVBand="1"/>
      </w:tblPr>
      <w:tblGrid>
        <w:gridCol w:w="707"/>
        <w:gridCol w:w="3669"/>
        <w:gridCol w:w="4555"/>
        <w:gridCol w:w="1227"/>
        <w:gridCol w:w="1041"/>
      </w:tblGrid>
      <w:tr w:rsidR="005E0DAC" w14:paraId="2CD003A6" w14:textId="77777777" w:rsidTr="005E0DAC">
        <w:tc>
          <w:tcPr>
            <w:tcW w:w="707" w:type="dxa"/>
          </w:tcPr>
          <w:p w14:paraId="33591951" w14:textId="77777777" w:rsidR="00BD055D" w:rsidRDefault="00BD055D" w:rsidP="004C5E17">
            <w:pPr>
              <w:pStyle w:val="BodyText"/>
            </w:pPr>
            <w:r>
              <w:rPr>
                <w:rStyle w:val="VerbatimChar"/>
              </w:rPr>
              <w:t xml:space="preserve">SN        </w:t>
            </w:r>
          </w:p>
        </w:tc>
        <w:tc>
          <w:tcPr>
            <w:tcW w:w="3669" w:type="dxa"/>
          </w:tcPr>
          <w:p w14:paraId="7C2D0081" w14:textId="1E11FB9E" w:rsidR="00BD055D" w:rsidRDefault="00BD055D" w:rsidP="004C5E17">
            <w:pPr>
              <w:pStyle w:val="BodyText"/>
            </w:pPr>
            <w:r>
              <w:t>Agency</w:t>
            </w:r>
          </w:p>
        </w:tc>
        <w:tc>
          <w:tcPr>
            <w:tcW w:w="4555" w:type="dxa"/>
          </w:tcPr>
          <w:p w14:paraId="79401040" w14:textId="77777777" w:rsidR="00BD055D" w:rsidRDefault="00BD055D" w:rsidP="004C5E17">
            <w:pPr>
              <w:pStyle w:val="BodyText"/>
            </w:pPr>
            <w:r>
              <w:t>Description</w:t>
            </w:r>
          </w:p>
        </w:tc>
        <w:tc>
          <w:tcPr>
            <w:tcW w:w="1227" w:type="dxa"/>
          </w:tcPr>
          <w:p w14:paraId="29BC56BF" w14:textId="77777777" w:rsidR="00BD055D" w:rsidRDefault="00BD055D" w:rsidP="004C5E17">
            <w:pPr>
              <w:pStyle w:val="BodyText"/>
            </w:pPr>
            <w:r>
              <w:t>Date</w:t>
            </w:r>
          </w:p>
        </w:tc>
        <w:tc>
          <w:tcPr>
            <w:tcW w:w="1041" w:type="dxa"/>
          </w:tcPr>
          <w:p w14:paraId="17582D56" w14:textId="77777777" w:rsidR="00BD055D" w:rsidRDefault="00BD055D" w:rsidP="004C5E17">
            <w:pPr>
              <w:pStyle w:val="BodyText"/>
            </w:pPr>
            <w:r>
              <w:t>Amount</w:t>
            </w:r>
          </w:p>
        </w:tc>
      </w:tr>
      <w:tr w:rsidR="005E0DAC" w:rsidRPr="00BB1862" w14:paraId="7E956D3C" w14:textId="77777777" w:rsidTr="005E0DAC">
        <w:tc>
          <w:tcPr>
            <w:tcW w:w="707" w:type="dxa"/>
          </w:tcPr>
          <w:p w14:paraId="4328D51D" w14:textId="627F7B93" w:rsidR="00BD055D" w:rsidRPr="00AF4E8D" w:rsidRDefault="00BD055D" w:rsidP="004C5E17">
            <w:pPr>
              <w:pStyle w:val="BodyText"/>
              <w:rPr>
                <w:rFonts w:ascii="Consolas" w:hAnsi="Consolas"/>
                <w:sz w:val="18"/>
                <w:szCs w:val="18"/>
              </w:rPr>
            </w:pPr>
            <w:r w:rsidRPr="00AF4E8D">
              <w:rPr>
                <w:rStyle w:val="VerbatimChar"/>
                <w:sz w:val="18"/>
                <w:szCs w:val="18"/>
              </w:rPr>
              <w:t>2198</w:t>
            </w:r>
          </w:p>
        </w:tc>
        <w:tc>
          <w:tcPr>
            <w:tcW w:w="3669" w:type="dxa"/>
          </w:tcPr>
          <w:p w14:paraId="1084A343" w14:textId="71FE94CD" w:rsidR="00BD055D" w:rsidRPr="00AF4E8D" w:rsidRDefault="00BD055D" w:rsidP="004C5E17">
            <w:pPr>
              <w:pStyle w:val="BodyText"/>
              <w:rPr>
                <w:rFonts w:ascii="Consolas" w:hAnsi="Consolas"/>
                <w:sz w:val="18"/>
                <w:szCs w:val="18"/>
              </w:rPr>
            </w:pPr>
            <w:r w:rsidRPr="00AF4E8D">
              <w:rPr>
                <w:rStyle w:val="VerbatimChar"/>
                <w:sz w:val="18"/>
                <w:szCs w:val="18"/>
              </w:rPr>
              <w:t>Bureau of Urban Development and Infrastructure</w:t>
            </w:r>
          </w:p>
        </w:tc>
        <w:tc>
          <w:tcPr>
            <w:tcW w:w="4555" w:type="dxa"/>
          </w:tcPr>
          <w:p w14:paraId="55A9D412" w14:textId="62CEE09F" w:rsidR="00BD055D" w:rsidRPr="00AF4E8D" w:rsidRDefault="00BD055D" w:rsidP="004C5E17">
            <w:pPr>
              <w:pStyle w:val="BodyText"/>
              <w:rPr>
                <w:rFonts w:ascii="Consolas" w:hAnsi="Consolas"/>
                <w:sz w:val="18"/>
                <w:szCs w:val="18"/>
              </w:rPr>
            </w:pPr>
            <w:r w:rsidRPr="00AF4E8D">
              <w:rPr>
                <w:rStyle w:val="VerbatimChar"/>
                <w:sz w:val="18"/>
                <w:szCs w:val="18"/>
              </w:rPr>
              <w:t>Building maintenance and repairs.</w:t>
            </w:r>
          </w:p>
        </w:tc>
        <w:tc>
          <w:tcPr>
            <w:tcW w:w="1227" w:type="dxa"/>
          </w:tcPr>
          <w:p w14:paraId="6F398776" w14:textId="358C1AA4" w:rsidR="00BD055D" w:rsidRPr="00AF4E8D" w:rsidRDefault="00BD055D" w:rsidP="004C5E17">
            <w:pPr>
              <w:pStyle w:val="BodyText"/>
              <w:rPr>
                <w:rFonts w:ascii="Consolas" w:hAnsi="Consolas"/>
                <w:sz w:val="18"/>
                <w:szCs w:val="18"/>
              </w:rPr>
            </w:pPr>
            <w:r w:rsidRPr="00AF4E8D">
              <w:rPr>
                <w:rStyle w:val="VerbatimChar"/>
                <w:sz w:val="18"/>
                <w:szCs w:val="18"/>
              </w:rPr>
              <w:t>2017-08-08</w:t>
            </w:r>
          </w:p>
        </w:tc>
        <w:tc>
          <w:tcPr>
            <w:tcW w:w="1041" w:type="dxa"/>
          </w:tcPr>
          <w:p w14:paraId="04424D20" w14:textId="785652E3" w:rsidR="00BD055D" w:rsidRPr="00AF4E8D" w:rsidRDefault="00BD055D" w:rsidP="004C5E17">
            <w:pPr>
              <w:pStyle w:val="BodyText"/>
              <w:rPr>
                <w:rFonts w:ascii="Consolas" w:hAnsi="Consolas"/>
                <w:sz w:val="18"/>
                <w:szCs w:val="18"/>
              </w:rPr>
            </w:pPr>
            <w:r w:rsidRPr="00AF4E8D">
              <w:rPr>
                <w:rStyle w:val="VerbatimChar"/>
                <w:sz w:val="18"/>
                <w:szCs w:val="18"/>
              </w:rPr>
              <w:t>2646865</w:t>
            </w:r>
          </w:p>
        </w:tc>
      </w:tr>
      <w:tr w:rsidR="005E0DAC" w:rsidRPr="00BB1862" w14:paraId="402E2473" w14:textId="77777777" w:rsidTr="005E0DAC">
        <w:tc>
          <w:tcPr>
            <w:tcW w:w="707" w:type="dxa"/>
          </w:tcPr>
          <w:p w14:paraId="458C81DF" w14:textId="0133A20A" w:rsidR="00BD055D" w:rsidRPr="00AF4E8D" w:rsidRDefault="00BD055D" w:rsidP="004C5E17">
            <w:pPr>
              <w:pStyle w:val="BodyText"/>
              <w:rPr>
                <w:rFonts w:ascii="Consolas" w:hAnsi="Consolas"/>
                <w:sz w:val="18"/>
                <w:szCs w:val="18"/>
              </w:rPr>
            </w:pPr>
            <w:r w:rsidRPr="00AF4E8D">
              <w:rPr>
                <w:rStyle w:val="VerbatimChar"/>
                <w:sz w:val="18"/>
                <w:szCs w:val="18"/>
              </w:rPr>
              <w:t>3492</w:t>
            </w:r>
          </w:p>
        </w:tc>
        <w:tc>
          <w:tcPr>
            <w:tcW w:w="3669" w:type="dxa"/>
          </w:tcPr>
          <w:p w14:paraId="3A5F1138" w14:textId="34DC04F1" w:rsidR="00BD055D" w:rsidRPr="00AF4E8D" w:rsidRDefault="00BD055D" w:rsidP="004C5E17">
            <w:pPr>
              <w:pStyle w:val="BodyText"/>
              <w:rPr>
                <w:rFonts w:ascii="Consolas" w:hAnsi="Consolas"/>
                <w:sz w:val="18"/>
                <w:szCs w:val="18"/>
              </w:rPr>
            </w:pPr>
            <w:r w:rsidRPr="00AF4E8D">
              <w:rPr>
                <w:rStyle w:val="VerbatimChar"/>
                <w:sz w:val="18"/>
                <w:szCs w:val="18"/>
              </w:rPr>
              <w:t>National Institute of Scientific Advancement</w:t>
            </w:r>
          </w:p>
        </w:tc>
        <w:tc>
          <w:tcPr>
            <w:tcW w:w="4555" w:type="dxa"/>
          </w:tcPr>
          <w:p w14:paraId="491A3F4F" w14:textId="05D346DF" w:rsidR="00BD055D" w:rsidRPr="00AF4E8D" w:rsidRDefault="00BD055D" w:rsidP="004C5E17">
            <w:pPr>
              <w:pStyle w:val="BodyText"/>
              <w:rPr>
                <w:rFonts w:ascii="Consolas" w:hAnsi="Consolas"/>
                <w:sz w:val="18"/>
                <w:szCs w:val="18"/>
              </w:rPr>
            </w:pPr>
            <w:r w:rsidRPr="00AF4E8D">
              <w:rPr>
                <w:rStyle w:val="VerbatimChar"/>
                <w:sz w:val="18"/>
                <w:szCs w:val="18"/>
              </w:rPr>
              <w:t>Indoor air quality monitoring and improvement measures.</w:t>
            </w:r>
          </w:p>
        </w:tc>
        <w:tc>
          <w:tcPr>
            <w:tcW w:w="1227" w:type="dxa"/>
          </w:tcPr>
          <w:p w14:paraId="0EFBA7EC" w14:textId="59A7B13F" w:rsidR="00BD055D" w:rsidRPr="00AF4E8D" w:rsidRDefault="00BD055D" w:rsidP="004C5E17">
            <w:pPr>
              <w:pStyle w:val="BodyText"/>
              <w:rPr>
                <w:rFonts w:ascii="Consolas" w:hAnsi="Consolas"/>
                <w:sz w:val="18"/>
                <w:szCs w:val="18"/>
              </w:rPr>
            </w:pPr>
            <w:r w:rsidRPr="00AF4E8D">
              <w:rPr>
                <w:rStyle w:val="VerbatimChar"/>
                <w:sz w:val="18"/>
                <w:szCs w:val="18"/>
              </w:rPr>
              <w:t>2018-08-27</w:t>
            </w:r>
          </w:p>
        </w:tc>
        <w:tc>
          <w:tcPr>
            <w:tcW w:w="1041" w:type="dxa"/>
          </w:tcPr>
          <w:p w14:paraId="460EC87C" w14:textId="5ABACEF9" w:rsidR="00BD055D" w:rsidRPr="00AF4E8D" w:rsidRDefault="00BD055D" w:rsidP="004C5E17">
            <w:pPr>
              <w:pStyle w:val="BodyText"/>
              <w:rPr>
                <w:rFonts w:ascii="Consolas" w:hAnsi="Consolas"/>
                <w:sz w:val="18"/>
                <w:szCs w:val="18"/>
              </w:rPr>
            </w:pPr>
            <w:r w:rsidRPr="00AF4E8D">
              <w:rPr>
                <w:rStyle w:val="VerbatimChar"/>
                <w:sz w:val="18"/>
                <w:szCs w:val="18"/>
              </w:rPr>
              <w:t>1284388</w:t>
            </w:r>
          </w:p>
        </w:tc>
      </w:tr>
      <w:tr w:rsidR="005E0DAC" w:rsidRPr="00BB1862" w14:paraId="59F04198" w14:textId="77777777" w:rsidTr="005E0DAC">
        <w:tc>
          <w:tcPr>
            <w:tcW w:w="707" w:type="dxa"/>
          </w:tcPr>
          <w:p w14:paraId="45391CBB" w14:textId="263B8582" w:rsidR="00BD055D" w:rsidRPr="00AF4E8D" w:rsidRDefault="00BD055D" w:rsidP="004C5E17">
            <w:pPr>
              <w:pStyle w:val="BodyText"/>
              <w:rPr>
                <w:rFonts w:ascii="Consolas" w:hAnsi="Consolas"/>
                <w:sz w:val="18"/>
                <w:szCs w:val="18"/>
              </w:rPr>
            </w:pPr>
            <w:r w:rsidRPr="00AF4E8D">
              <w:rPr>
                <w:rStyle w:val="VerbatimChar"/>
                <w:sz w:val="18"/>
                <w:szCs w:val="18"/>
              </w:rPr>
              <w:t>5087</w:t>
            </w:r>
            <w:r w:rsidRPr="00AF4E8D">
              <w:rPr>
                <w:rFonts w:ascii="Consolas" w:hAnsi="Consolas"/>
                <w:sz w:val="18"/>
                <w:szCs w:val="18"/>
              </w:rPr>
              <w:br/>
            </w:r>
          </w:p>
        </w:tc>
        <w:tc>
          <w:tcPr>
            <w:tcW w:w="3669" w:type="dxa"/>
          </w:tcPr>
          <w:p w14:paraId="3B0FFA51" w14:textId="547D8A0B" w:rsidR="00BD055D" w:rsidRPr="00AF4E8D" w:rsidRDefault="00BD055D" w:rsidP="004C5E17">
            <w:pPr>
              <w:pStyle w:val="BodyText"/>
              <w:rPr>
                <w:rFonts w:ascii="Consolas" w:hAnsi="Consolas"/>
                <w:sz w:val="18"/>
                <w:szCs w:val="18"/>
              </w:rPr>
            </w:pPr>
            <w:r w:rsidRPr="00AF4E8D">
              <w:rPr>
                <w:rStyle w:val="VerbatimChar"/>
                <w:sz w:val="18"/>
                <w:szCs w:val="18"/>
              </w:rPr>
              <w:t>Bureau of Urban Development and Infrastructure</w:t>
            </w:r>
          </w:p>
        </w:tc>
        <w:tc>
          <w:tcPr>
            <w:tcW w:w="4555" w:type="dxa"/>
          </w:tcPr>
          <w:p w14:paraId="56C298CF" w14:textId="3986E5D2" w:rsidR="00BD055D" w:rsidRPr="00AF4E8D" w:rsidRDefault="00BD055D" w:rsidP="004C5E17">
            <w:pPr>
              <w:pStyle w:val="BodyText"/>
              <w:rPr>
                <w:rFonts w:ascii="Consolas" w:hAnsi="Consolas"/>
                <w:sz w:val="18"/>
                <w:szCs w:val="18"/>
              </w:rPr>
            </w:pPr>
            <w:r w:rsidRPr="00AF4E8D">
              <w:rPr>
                <w:rStyle w:val="VerbatimChar"/>
                <w:sz w:val="18"/>
                <w:szCs w:val="18"/>
              </w:rPr>
              <w:t>Space planning and utilization optimization strategies.</w:t>
            </w:r>
          </w:p>
        </w:tc>
        <w:tc>
          <w:tcPr>
            <w:tcW w:w="1227" w:type="dxa"/>
          </w:tcPr>
          <w:p w14:paraId="026D273A" w14:textId="356D8EFA" w:rsidR="00BD055D" w:rsidRPr="00AF4E8D" w:rsidRDefault="00BD055D" w:rsidP="004C5E17">
            <w:pPr>
              <w:pStyle w:val="BodyText"/>
              <w:rPr>
                <w:rFonts w:ascii="Consolas" w:hAnsi="Consolas"/>
                <w:sz w:val="18"/>
                <w:szCs w:val="18"/>
              </w:rPr>
            </w:pPr>
            <w:r w:rsidRPr="00AF4E8D">
              <w:rPr>
                <w:rStyle w:val="VerbatimChar"/>
                <w:sz w:val="18"/>
                <w:szCs w:val="18"/>
              </w:rPr>
              <w:t>2020-02-14</w:t>
            </w:r>
          </w:p>
        </w:tc>
        <w:tc>
          <w:tcPr>
            <w:tcW w:w="1041" w:type="dxa"/>
          </w:tcPr>
          <w:p w14:paraId="355D5E1D" w14:textId="40543C71" w:rsidR="00BD055D" w:rsidRPr="00AF4E8D" w:rsidRDefault="00BD055D" w:rsidP="004C5E17">
            <w:pPr>
              <w:pStyle w:val="BodyText"/>
              <w:rPr>
                <w:rFonts w:ascii="Consolas" w:hAnsi="Consolas"/>
                <w:sz w:val="18"/>
                <w:szCs w:val="18"/>
              </w:rPr>
            </w:pPr>
            <w:r w:rsidRPr="00AF4E8D">
              <w:rPr>
                <w:rStyle w:val="VerbatimChar"/>
                <w:sz w:val="18"/>
                <w:szCs w:val="18"/>
              </w:rPr>
              <w:t>3773118</w:t>
            </w:r>
          </w:p>
        </w:tc>
      </w:tr>
      <w:tr w:rsidR="005E0DAC" w:rsidRPr="00BB1862" w14:paraId="7C38B92A" w14:textId="77777777" w:rsidTr="005E0DAC">
        <w:tc>
          <w:tcPr>
            <w:tcW w:w="707" w:type="dxa"/>
          </w:tcPr>
          <w:p w14:paraId="711153DC" w14:textId="2F700E25" w:rsidR="00BD055D" w:rsidRPr="00AF4E8D" w:rsidRDefault="00BD055D" w:rsidP="004C5E17">
            <w:pPr>
              <w:pStyle w:val="BodyText"/>
              <w:rPr>
                <w:rFonts w:ascii="Consolas" w:hAnsi="Consolas"/>
                <w:sz w:val="18"/>
                <w:szCs w:val="18"/>
              </w:rPr>
            </w:pPr>
            <w:r w:rsidRPr="00AF4E8D">
              <w:rPr>
                <w:rStyle w:val="VerbatimChar"/>
                <w:sz w:val="18"/>
                <w:szCs w:val="18"/>
              </w:rPr>
              <w:t>6472</w:t>
            </w:r>
          </w:p>
        </w:tc>
        <w:tc>
          <w:tcPr>
            <w:tcW w:w="3669" w:type="dxa"/>
          </w:tcPr>
          <w:p w14:paraId="40CB117D" w14:textId="78DB60E7" w:rsidR="00BD055D" w:rsidRPr="00AF4E8D" w:rsidRDefault="00BD055D" w:rsidP="004C5E17">
            <w:pPr>
              <w:pStyle w:val="BodyText"/>
              <w:rPr>
                <w:rFonts w:ascii="Consolas" w:hAnsi="Consolas"/>
                <w:sz w:val="18"/>
                <w:szCs w:val="18"/>
              </w:rPr>
            </w:pPr>
            <w:r w:rsidRPr="00AF4E8D">
              <w:rPr>
                <w:rStyle w:val="VerbatimChar"/>
                <w:sz w:val="18"/>
                <w:szCs w:val="18"/>
              </w:rPr>
              <w:t>Bureau of Urban Development and Infrastructure</w:t>
            </w:r>
          </w:p>
        </w:tc>
        <w:tc>
          <w:tcPr>
            <w:tcW w:w="4555" w:type="dxa"/>
          </w:tcPr>
          <w:p w14:paraId="1E1E34C5" w14:textId="0C411536" w:rsidR="00BD055D" w:rsidRPr="00AF4E8D" w:rsidRDefault="00AF4E8D" w:rsidP="004C5E17">
            <w:pPr>
              <w:pStyle w:val="BodyText"/>
              <w:rPr>
                <w:rFonts w:ascii="Consolas" w:hAnsi="Consolas"/>
                <w:sz w:val="18"/>
                <w:szCs w:val="18"/>
              </w:rPr>
            </w:pPr>
            <w:r w:rsidRPr="00AF4E8D">
              <w:rPr>
                <w:rStyle w:val="VerbatimChar"/>
                <w:sz w:val="18"/>
                <w:szCs w:val="18"/>
              </w:rPr>
              <w:t>Health and safety compliance management and training.</w:t>
            </w:r>
          </w:p>
        </w:tc>
        <w:tc>
          <w:tcPr>
            <w:tcW w:w="1227" w:type="dxa"/>
          </w:tcPr>
          <w:p w14:paraId="07DB3C37" w14:textId="16FF47E9" w:rsidR="00BD055D" w:rsidRPr="00AF4E8D" w:rsidRDefault="00AF4E8D" w:rsidP="004C5E17">
            <w:pPr>
              <w:pStyle w:val="BodyText"/>
              <w:rPr>
                <w:rFonts w:ascii="Consolas" w:hAnsi="Consolas"/>
                <w:sz w:val="18"/>
                <w:szCs w:val="18"/>
              </w:rPr>
            </w:pPr>
            <w:r w:rsidRPr="00AF4E8D">
              <w:rPr>
                <w:rStyle w:val="VerbatimChar"/>
                <w:sz w:val="18"/>
                <w:szCs w:val="18"/>
              </w:rPr>
              <w:t>2021-09-19</w:t>
            </w:r>
          </w:p>
        </w:tc>
        <w:tc>
          <w:tcPr>
            <w:tcW w:w="1041" w:type="dxa"/>
          </w:tcPr>
          <w:p w14:paraId="59F08C06" w14:textId="6E0DC28A" w:rsidR="00BD055D" w:rsidRPr="00AF4E8D" w:rsidRDefault="00AF4E8D" w:rsidP="004C5E17">
            <w:pPr>
              <w:pStyle w:val="BodyText"/>
              <w:rPr>
                <w:rFonts w:ascii="Consolas" w:hAnsi="Consolas"/>
                <w:sz w:val="18"/>
                <w:szCs w:val="18"/>
              </w:rPr>
            </w:pPr>
            <w:r w:rsidRPr="00AF4E8D">
              <w:rPr>
                <w:rStyle w:val="VerbatimChar"/>
                <w:sz w:val="18"/>
                <w:szCs w:val="18"/>
              </w:rPr>
              <w:t>1415452</w:t>
            </w:r>
          </w:p>
        </w:tc>
      </w:tr>
      <w:tr w:rsidR="005E0DAC" w:rsidRPr="00BB1862" w14:paraId="0B8DA42A" w14:textId="77777777" w:rsidTr="005E0DAC">
        <w:tc>
          <w:tcPr>
            <w:tcW w:w="707" w:type="dxa"/>
          </w:tcPr>
          <w:p w14:paraId="272476A5" w14:textId="26829E60" w:rsidR="00BD055D" w:rsidRPr="00AF4E8D" w:rsidRDefault="00BD055D" w:rsidP="00BD055D">
            <w:pPr>
              <w:pStyle w:val="BodyText"/>
              <w:rPr>
                <w:rFonts w:ascii="Consolas" w:hAnsi="Consolas"/>
                <w:sz w:val="18"/>
                <w:szCs w:val="18"/>
              </w:rPr>
            </w:pPr>
            <w:r w:rsidRPr="00AF4E8D">
              <w:rPr>
                <w:rFonts w:ascii="Consolas" w:hAnsi="Consolas"/>
                <w:sz w:val="18"/>
                <w:szCs w:val="18"/>
              </w:rPr>
              <w:t>6619</w:t>
            </w:r>
          </w:p>
        </w:tc>
        <w:tc>
          <w:tcPr>
            <w:tcW w:w="3669" w:type="dxa"/>
          </w:tcPr>
          <w:p w14:paraId="3CE8717B" w14:textId="423F5CE0" w:rsidR="00BD055D" w:rsidRPr="00AF4E8D" w:rsidRDefault="00BD055D" w:rsidP="00BD055D">
            <w:pPr>
              <w:pStyle w:val="BodyText"/>
              <w:rPr>
                <w:rFonts w:ascii="Consolas" w:hAnsi="Consolas"/>
                <w:sz w:val="18"/>
                <w:szCs w:val="18"/>
              </w:rPr>
            </w:pPr>
            <w:r w:rsidRPr="00AF4E8D">
              <w:rPr>
                <w:rStyle w:val="VerbatimChar"/>
                <w:sz w:val="18"/>
                <w:szCs w:val="18"/>
              </w:rPr>
              <w:t>Bureau of Urban Development and Infrastructure</w:t>
            </w:r>
          </w:p>
        </w:tc>
        <w:tc>
          <w:tcPr>
            <w:tcW w:w="4555" w:type="dxa"/>
          </w:tcPr>
          <w:p w14:paraId="5774E357" w14:textId="7DB7DBB9" w:rsidR="00BD055D" w:rsidRPr="00AF4E8D" w:rsidRDefault="00AF4E8D" w:rsidP="00BD055D">
            <w:pPr>
              <w:pStyle w:val="BodyText"/>
              <w:rPr>
                <w:rFonts w:ascii="Consolas" w:hAnsi="Consolas"/>
                <w:sz w:val="18"/>
                <w:szCs w:val="18"/>
              </w:rPr>
            </w:pPr>
            <w:r w:rsidRPr="00AF4E8D">
              <w:rPr>
                <w:rStyle w:val="VerbatimChar"/>
                <w:sz w:val="18"/>
                <w:szCs w:val="18"/>
              </w:rPr>
              <w:t>Parking management and traffic control solutions.</w:t>
            </w:r>
          </w:p>
        </w:tc>
        <w:tc>
          <w:tcPr>
            <w:tcW w:w="1227" w:type="dxa"/>
          </w:tcPr>
          <w:p w14:paraId="3A4273B2" w14:textId="66D2EA05" w:rsidR="00BD055D" w:rsidRPr="00AF4E8D" w:rsidRDefault="00AF4E8D" w:rsidP="00BD055D">
            <w:pPr>
              <w:pStyle w:val="BodyText"/>
              <w:rPr>
                <w:rFonts w:ascii="Consolas" w:hAnsi="Consolas"/>
                <w:sz w:val="18"/>
                <w:szCs w:val="18"/>
              </w:rPr>
            </w:pPr>
            <w:r w:rsidRPr="00AF4E8D">
              <w:rPr>
                <w:rStyle w:val="VerbatimChar"/>
                <w:sz w:val="18"/>
                <w:szCs w:val="18"/>
              </w:rPr>
              <w:t>2021-11-23</w:t>
            </w:r>
          </w:p>
        </w:tc>
        <w:tc>
          <w:tcPr>
            <w:tcW w:w="1041" w:type="dxa"/>
          </w:tcPr>
          <w:p w14:paraId="70731F88" w14:textId="15C67DF4" w:rsidR="00BD055D" w:rsidRPr="00AF4E8D" w:rsidRDefault="00AF4E8D" w:rsidP="00BD055D">
            <w:pPr>
              <w:pStyle w:val="BodyText"/>
              <w:rPr>
                <w:rFonts w:ascii="Consolas" w:hAnsi="Consolas"/>
                <w:sz w:val="18"/>
                <w:szCs w:val="18"/>
              </w:rPr>
            </w:pPr>
            <w:r w:rsidRPr="00AF4E8D">
              <w:rPr>
                <w:rStyle w:val="VerbatimChar"/>
                <w:sz w:val="18"/>
                <w:szCs w:val="18"/>
              </w:rPr>
              <w:t>2337266</w:t>
            </w:r>
          </w:p>
        </w:tc>
      </w:tr>
    </w:tbl>
    <w:p w14:paraId="4E87A7A6" w14:textId="77777777" w:rsidR="00CF7491" w:rsidRDefault="00CF7491">
      <w:pPr>
        <w:pStyle w:val="FirstParagraph"/>
      </w:pPr>
    </w:p>
    <w:p w14:paraId="711721EC" w14:textId="2E53EEF4" w:rsidR="00CF7491" w:rsidRPr="00CF7491" w:rsidRDefault="0087698D" w:rsidP="00CF7491">
      <w:pPr>
        <w:pStyle w:val="FirstParagraph"/>
      </w:pPr>
      <w:r>
        <w:t xml:space="preserve">Looking further into the Bureau of Urban Development and Infrastructure (BUDI), we find that they have 139 different procurements. The median procurement </w:t>
      </w:r>
      <w:proofErr w:type="gramStart"/>
      <w:r>
        <w:t>amount</w:t>
      </w:r>
      <w:proofErr w:type="gramEnd"/>
      <w:r>
        <w:t xml:space="preserve"> of procurements awarded by BUDI is $226,170, which is actually lower than the overall median procurement amount.</w:t>
      </w:r>
    </w:p>
    <w:p w14:paraId="33401363" w14:textId="52491E06" w:rsidR="00E0440B" w:rsidRDefault="0087698D">
      <w:pPr>
        <w:pStyle w:val="SourceCode"/>
      </w:pPr>
      <w:r>
        <w:rPr>
          <w:rStyle w:val="VerbatimChar"/>
        </w:rPr>
        <w:t xml:space="preserve"> </w:t>
      </w:r>
      <w:r>
        <w:rPr>
          <w:rStyle w:val="VerbatimChar"/>
        </w:rPr>
        <w:t xml:space="preserve">   Min. 1st Qu.  Median    Mean 3rd Qu.    Max. </w:t>
      </w:r>
      <w:r>
        <w:br/>
      </w:r>
      <w:r>
        <w:rPr>
          <w:rStyle w:val="VerbatimChar"/>
        </w:rPr>
        <w:t xml:space="preserve">   11797   </w:t>
      </w:r>
      <w:proofErr w:type="gramStart"/>
      <w:r>
        <w:rPr>
          <w:rStyle w:val="VerbatimChar"/>
        </w:rPr>
        <w:t xml:space="preserve">86768  </w:t>
      </w:r>
      <w:r w:rsidRPr="005F0184">
        <w:rPr>
          <w:rStyle w:val="VerbatimChar"/>
          <w:b/>
          <w:bCs/>
          <w:highlight w:val="yellow"/>
        </w:rPr>
        <w:t>226170</w:t>
      </w:r>
      <w:proofErr w:type="gramEnd"/>
      <w:r>
        <w:rPr>
          <w:rStyle w:val="VerbatimChar"/>
        </w:rPr>
        <w:t xml:space="preserve">  294975  346104 3773118</w:t>
      </w:r>
    </w:p>
    <w:p w14:paraId="281569B9" w14:textId="77777777" w:rsidR="00F44B22" w:rsidRDefault="00F44B22">
      <w:pPr>
        <w:rPr>
          <w:rFonts w:asciiTheme="majorHAnsi" w:eastAsiaTheme="majorEastAsia" w:hAnsiTheme="majorHAnsi" w:cstheme="majorBidi"/>
          <w:b/>
          <w:bCs/>
          <w:color w:val="4F81BD" w:themeColor="accent1"/>
          <w:sz w:val="28"/>
          <w:szCs w:val="28"/>
        </w:rPr>
      </w:pPr>
      <w:bookmarkStart w:id="4" w:name="Xe988b4d6904c455c4a921af81ec2411fb112cda"/>
      <w:r>
        <w:br w:type="page"/>
      </w:r>
    </w:p>
    <w:p w14:paraId="33401365" w14:textId="7E5F4635" w:rsidR="00E0440B" w:rsidRDefault="0087698D">
      <w:pPr>
        <w:pStyle w:val="Heading2"/>
      </w:pPr>
      <w:r>
        <w:lastRenderedPageBreak/>
        <w:t>Correlation between Agency and Description</w:t>
      </w:r>
    </w:p>
    <w:p w14:paraId="33401366" w14:textId="77777777" w:rsidR="00E0440B" w:rsidRDefault="0087698D">
      <w:pPr>
        <w:pStyle w:val="FirstParagraph"/>
      </w:pPr>
      <w:r>
        <w:t>We first try to find the needs of the agencies in terms of procurement description categories.</w:t>
      </w:r>
    </w:p>
    <w:p w14:paraId="33401367" w14:textId="77777777" w:rsidR="00E0440B" w:rsidRDefault="0087698D">
      <w:pPr>
        <w:pStyle w:val="BodyText"/>
      </w:pPr>
      <w:r>
        <w:t>On average, one procurement description category takes approximately 5% of an agency’s total procurement needs. This translates to about 20 different procurement description categories undetaken by one agency, meaning most agencies require a wide variety of procurements. It is also interesting to note that the maximum percentage recorded is 13.7%. This means that there are no agencies with an overwhelming focus on one particular procurement description category.</w:t>
      </w:r>
    </w:p>
    <w:p w14:paraId="33401368" w14:textId="6D4FBFD3" w:rsidR="00E0440B" w:rsidRPr="005F0184" w:rsidRDefault="0087698D">
      <w:pPr>
        <w:pStyle w:val="SourceCode"/>
        <w:rPr>
          <w:b/>
          <w:bCs/>
        </w:rPr>
      </w:pPr>
      <w:r>
        <w:rPr>
          <w:rStyle w:val="VerbatimChar"/>
        </w:rPr>
        <w:t xml:space="preserve">    Min. 1st Qu.  Median    Mean 3rd Qu.    Max. </w:t>
      </w:r>
      <w:r>
        <w:br/>
      </w:r>
      <w:r>
        <w:rPr>
          <w:rStyle w:val="VerbatimChar"/>
        </w:rPr>
        <w:t xml:space="preserve">  0.8696  </w:t>
      </w:r>
      <w:proofErr w:type="gramStart"/>
      <w:r>
        <w:rPr>
          <w:rStyle w:val="VerbatimChar"/>
        </w:rPr>
        <w:t xml:space="preserve">3.8285  </w:t>
      </w:r>
      <w:r w:rsidRPr="005F0184">
        <w:rPr>
          <w:rStyle w:val="VerbatimChar"/>
          <w:b/>
          <w:bCs/>
          <w:highlight w:val="yellow"/>
        </w:rPr>
        <w:t>4.5852</w:t>
      </w:r>
      <w:proofErr w:type="gramEnd"/>
      <w:r>
        <w:rPr>
          <w:rStyle w:val="VerbatimChar"/>
        </w:rPr>
        <w:t xml:space="preserve">  5.0167  5.4435 </w:t>
      </w:r>
      <w:r w:rsidRPr="004B3C81">
        <w:rPr>
          <w:rStyle w:val="VerbatimChar"/>
          <w:b/>
          <w:bCs/>
          <w:highlight w:val="yellow"/>
        </w:rPr>
        <w:t>13.7184</w:t>
      </w:r>
    </w:p>
    <w:p w14:paraId="33401369" w14:textId="77777777" w:rsidR="00E0440B" w:rsidRDefault="0087698D">
      <w:pPr>
        <w:pStyle w:val="FirstParagraph"/>
      </w:pPr>
      <w:r>
        <w:t>The dotplot below also corroborates our above findings.</w:t>
      </w:r>
    </w:p>
    <w:p w14:paraId="3340136B" w14:textId="77777777" w:rsidR="00E0440B" w:rsidRDefault="0087698D" w:rsidP="002F117D">
      <w:pPr>
        <w:pStyle w:val="FirstParagraph"/>
        <w:jc w:val="center"/>
      </w:pPr>
      <w:r>
        <w:rPr>
          <w:noProof/>
        </w:rPr>
        <w:drawing>
          <wp:inline distT="0" distB="0" distL="0" distR="0" wp14:anchorId="33401383" wp14:editId="3340138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ain2_files/figure-docx/unnamed-chunk-1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C3C3F91" w14:textId="77777777" w:rsidR="00F44B22" w:rsidRDefault="00F44B22">
      <w:pPr>
        <w:rPr>
          <w:rFonts w:asciiTheme="majorHAnsi" w:eastAsiaTheme="majorEastAsia" w:hAnsiTheme="majorHAnsi" w:cstheme="majorBidi"/>
          <w:b/>
          <w:bCs/>
          <w:color w:val="4F81BD" w:themeColor="accent1"/>
          <w:sz w:val="32"/>
          <w:szCs w:val="32"/>
        </w:rPr>
      </w:pPr>
      <w:bookmarkStart w:id="5" w:name="X862340bda3effedd5f3b5dffda981b07551df0e"/>
      <w:bookmarkEnd w:id="4"/>
      <w:bookmarkEnd w:id="3"/>
      <w:r>
        <w:br w:type="page"/>
      </w:r>
    </w:p>
    <w:p w14:paraId="3340136C" w14:textId="0AB63C84" w:rsidR="00E0440B" w:rsidRDefault="0087698D">
      <w:pPr>
        <w:pStyle w:val="Heading1"/>
      </w:pPr>
      <w:r>
        <w:lastRenderedPageBreak/>
        <w:t>Correlation between Supplier and Description</w:t>
      </w:r>
    </w:p>
    <w:p w14:paraId="3340136D" w14:textId="77777777" w:rsidR="00E0440B" w:rsidRDefault="0087698D">
      <w:pPr>
        <w:pStyle w:val="FirstParagraph"/>
      </w:pPr>
      <w:r>
        <w:t>Now we look at the different suppliers and what type of services they provide (based on the procurement description).</w:t>
      </w:r>
    </w:p>
    <w:p w14:paraId="3340136E" w14:textId="191C46B7" w:rsidR="00E0440B" w:rsidRDefault="0087698D">
      <w:pPr>
        <w:pStyle w:val="SourceCode"/>
      </w:pPr>
      <w:r>
        <w:rPr>
          <w:rStyle w:val="VerbatimChar"/>
        </w:rPr>
        <w:t xml:space="preserve">    Min. 1st Qu.  Median    Mean 3rd Qu.    Max. </w:t>
      </w:r>
      <w:r>
        <w:br/>
      </w:r>
      <w:r>
        <w:rPr>
          <w:rStyle w:val="VerbatimChar"/>
        </w:rPr>
        <w:t xml:space="preserve">  0.4202  </w:t>
      </w:r>
      <w:proofErr w:type="gramStart"/>
      <w:r>
        <w:rPr>
          <w:rStyle w:val="VerbatimChar"/>
        </w:rPr>
        <w:t xml:space="preserve">3.2609  </w:t>
      </w:r>
      <w:r w:rsidRPr="005F0184">
        <w:rPr>
          <w:rStyle w:val="VerbatimChar"/>
          <w:b/>
          <w:bCs/>
          <w:highlight w:val="yellow"/>
        </w:rPr>
        <w:t>4.9180</w:t>
      </w:r>
      <w:proofErr w:type="gramEnd"/>
      <w:r>
        <w:rPr>
          <w:rStyle w:val="VerbatimChar"/>
        </w:rPr>
        <w:t xml:space="preserve">  5.5493  7.0423 </w:t>
      </w:r>
      <w:r w:rsidRPr="005F0184">
        <w:rPr>
          <w:rStyle w:val="VerbatimChar"/>
          <w:b/>
          <w:bCs/>
          <w:highlight w:val="yellow"/>
        </w:rPr>
        <w:t>79.8319</w:t>
      </w:r>
    </w:p>
    <w:p w14:paraId="56F416E9" w14:textId="77777777" w:rsidR="002F117D" w:rsidRDefault="0087698D" w:rsidP="002F117D">
      <w:pPr>
        <w:pStyle w:val="FirstParagraph"/>
        <w:jc w:val="center"/>
      </w:pPr>
      <w:r>
        <w:rPr>
          <w:noProof/>
        </w:rPr>
        <w:drawing>
          <wp:inline distT="0" distB="0" distL="0" distR="0" wp14:anchorId="33401385" wp14:editId="211DAE58">
            <wp:extent cx="4492717" cy="3292897"/>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main2_files/figure-docx/unnamed-chunk-21-1.png"/>
                    <pic:cNvPicPr>
                      <a:picLocks noChangeAspect="1" noChangeArrowheads="1"/>
                    </pic:cNvPicPr>
                  </pic:nvPicPr>
                  <pic:blipFill>
                    <a:blip r:embed="rId8"/>
                    <a:stretch>
                      <a:fillRect/>
                    </a:stretch>
                  </pic:blipFill>
                  <pic:spPr bwMode="auto">
                    <a:xfrm>
                      <a:off x="0" y="0"/>
                      <a:ext cx="4515827" cy="3309835"/>
                    </a:xfrm>
                    <a:prstGeom prst="rect">
                      <a:avLst/>
                    </a:prstGeom>
                    <a:noFill/>
                    <a:ln w="9525">
                      <a:noFill/>
                      <a:headEnd/>
                      <a:tailEnd/>
                    </a:ln>
                  </pic:spPr>
                </pic:pic>
              </a:graphicData>
            </a:graphic>
          </wp:inline>
        </w:drawing>
      </w:r>
    </w:p>
    <w:p w14:paraId="33401371" w14:textId="4F6E565D" w:rsidR="00E0440B" w:rsidRDefault="0087698D" w:rsidP="002F117D">
      <w:pPr>
        <w:pStyle w:val="FirstParagraph"/>
      </w:pPr>
      <w:r>
        <w:t xml:space="preserve">The data and boxplot above </w:t>
      </w:r>
      <w:proofErr w:type="gramStart"/>
      <w:r>
        <w:t>shows</w:t>
      </w:r>
      <w:proofErr w:type="gramEnd"/>
      <w:r>
        <w:t xml:space="preserve"> that most suppliers are diverse in the services they provide, as one category of procurement description accounts for about 5% of the total number of projects done by the supplier. Although there are some values that cross </w:t>
      </w:r>
      <w:proofErr w:type="gramStart"/>
      <w:r>
        <w:t>20%,</w:t>
      </w:r>
      <w:proofErr w:type="gramEnd"/>
      <w:r>
        <w:t xml:space="preserve"> of particular interest to us in the data point hovering at about 80%.</w:t>
      </w:r>
    </w:p>
    <w:tbl>
      <w:tblPr>
        <w:tblStyle w:val="TableGrid"/>
        <w:tblW w:w="11341" w:type="dxa"/>
        <w:tblInd w:w="-885" w:type="dxa"/>
        <w:tblLook w:val="04A0" w:firstRow="1" w:lastRow="0" w:firstColumn="1" w:lastColumn="0" w:noHBand="0" w:noVBand="1"/>
      </w:tblPr>
      <w:tblGrid>
        <w:gridCol w:w="555"/>
        <w:gridCol w:w="2990"/>
        <w:gridCol w:w="5081"/>
        <w:gridCol w:w="1303"/>
        <w:gridCol w:w="1412"/>
      </w:tblGrid>
      <w:tr w:rsidR="002F117D" w14:paraId="50F8470C" w14:textId="77777777" w:rsidTr="002F117D">
        <w:trPr>
          <w:trHeight w:val="647"/>
        </w:trPr>
        <w:tc>
          <w:tcPr>
            <w:tcW w:w="555" w:type="dxa"/>
          </w:tcPr>
          <w:p w14:paraId="570C4894" w14:textId="77777777" w:rsidR="00E701D3" w:rsidRDefault="00E701D3" w:rsidP="004C5E17">
            <w:pPr>
              <w:pStyle w:val="BodyText"/>
            </w:pPr>
            <w:r>
              <w:rPr>
                <w:rStyle w:val="VerbatimChar"/>
              </w:rPr>
              <w:t xml:space="preserve">SN        </w:t>
            </w:r>
          </w:p>
        </w:tc>
        <w:tc>
          <w:tcPr>
            <w:tcW w:w="2990" w:type="dxa"/>
          </w:tcPr>
          <w:p w14:paraId="0D493587" w14:textId="0D067031" w:rsidR="00E701D3" w:rsidRDefault="00E701D3" w:rsidP="004C5E17">
            <w:pPr>
              <w:pStyle w:val="BodyText"/>
            </w:pPr>
            <w:r>
              <w:t>Supplier</w:t>
            </w:r>
          </w:p>
        </w:tc>
        <w:tc>
          <w:tcPr>
            <w:tcW w:w="5081" w:type="dxa"/>
          </w:tcPr>
          <w:p w14:paraId="4C9734C3" w14:textId="1F516A28" w:rsidR="00E701D3" w:rsidRDefault="00E701D3" w:rsidP="004C5E17">
            <w:pPr>
              <w:pStyle w:val="BodyText"/>
            </w:pPr>
            <w:r>
              <w:t>Description</w:t>
            </w:r>
          </w:p>
        </w:tc>
        <w:tc>
          <w:tcPr>
            <w:tcW w:w="1303" w:type="dxa"/>
          </w:tcPr>
          <w:p w14:paraId="5FD009EF" w14:textId="0B42AC67" w:rsidR="00E701D3" w:rsidRDefault="00E701D3" w:rsidP="004C5E17">
            <w:pPr>
              <w:pStyle w:val="BodyText"/>
            </w:pPr>
            <w:r>
              <w:t>Frequency</w:t>
            </w:r>
          </w:p>
        </w:tc>
        <w:tc>
          <w:tcPr>
            <w:tcW w:w="1412" w:type="dxa"/>
          </w:tcPr>
          <w:p w14:paraId="4B1A01A5" w14:textId="46670B8B" w:rsidR="00E701D3" w:rsidRDefault="00E701D3" w:rsidP="004C5E17">
            <w:pPr>
              <w:pStyle w:val="BodyText"/>
            </w:pPr>
            <w:r>
              <w:t>Percentage</w:t>
            </w:r>
          </w:p>
        </w:tc>
      </w:tr>
      <w:tr w:rsidR="002F117D" w:rsidRPr="00BB1862" w14:paraId="0083DA92" w14:textId="77777777" w:rsidTr="002F117D">
        <w:trPr>
          <w:trHeight w:val="670"/>
        </w:trPr>
        <w:tc>
          <w:tcPr>
            <w:tcW w:w="555" w:type="dxa"/>
          </w:tcPr>
          <w:p w14:paraId="5FCA66EE" w14:textId="017918CF" w:rsidR="00E701D3" w:rsidRPr="00E701D3" w:rsidRDefault="00E701D3" w:rsidP="004C5E17">
            <w:pPr>
              <w:pStyle w:val="BodyText"/>
              <w:rPr>
                <w:rFonts w:ascii="Consolas" w:hAnsi="Consolas"/>
                <w:sz w:val="18"/>
                <w:szCs w:val="18"/>
              </w:rPr>
            </w:pPr>
            <w:r w:rsidRPr="00E701D3">
              <w:rPr>
                <w:rFonts w:ascii="Consolas" w:hAnsi="Consolas"/>
                <w:sz w:val="18"/>
                <w:szCs w:val="18"/>
              </w:rPr>
              <w:t>941</w:t>
            </w:r>
          </w:p>
        </w:tc>
        <w:tc>
          <w:tcPr>
            <w:tcW w:w="2990" w:type="dxa"/>
          </w:tcPr>
          <w:p w14:paraId="72DBB4EA" w14:textId="1F1DFE2D" w:rsidR="00E701D3" w:rsidRPr="00E701D3" w:rsidRDefault="00E701D3" w:rsidP="004C5E17">
            <w:pPr>
              <w:pStyle w:val="BodyText"/>
              <w:rPr>
                <w:rFonts w:ascii="Consolas" w:hAnsi="Consolas"/>
                <w:sz w:val="18"/>
                <w:szCs w:val="18"/>
              </w:rPr>
            </w:pPr>
            <w:proofErr w:type="spellStart"/>
            <w:r w:rsidRPr="00E701D3">
              <w:rPr>
                <w:rStyle w:val="VerbatimChar"/>
                <w:sz w:val="18"/>
                <w:szCs w:val="18"/>
              </w:rPr>
              <w:t>InfiniteSpace</w:t>
            </w:r>
            <w:proofErr w:type="spellEnd"/>
            <w:r w:rsidRPr="00E701D3">
              <w:rPr>
                <w:rStyle w:val="VerbatimChar"/>
                <w:sz w:val="18"/>
                <w:szCs w:val="18"/>
              </w:rPr>
              <w:t xml:space="preserve"> Building Solutions</w:t>
            </w:r>
          </w:p>
        </w:tc>
        <w:tc>
          <w:tcPr>
            <w:tcW w:w="5081" w:type="dxa"/>
          </w:tcPr>
          <w:p w14:paraId="71B869E5" w14:textId="1A813CB1" w:rsidR="00E701D3" w:rsidRPr="00E701D3" w:rsidRDefault="00E701D3" w:rsidP="004C5E17">
            <w:pPr>
              <w:pStyle w:val="BodyText"/>
              <w:rPr>
                <w:rFonts w:ascii="Consolas" w:hAnsi="Consolas"/>
                <w:sz w:val="18"/>
                <w:szCs w:val="18"/>
              </w:rPr>
            </w:pPr>
            <w:r w:rsidRPr="00E701D3">
              <w:rPr>
                <w:rStyle w:val="VerbatimChar"/>
                <w:sz w:val="18"/>
                <w:szCs w:val="18"/>
              </w:rPr>
              <w:t>Cleaning supplies and consumables procurement and management</w:t>
            </w:r>
            <w:r w:rsidRPr="00E701D3">
              <w:rPr>
                <w:rStyle w:val="VerbatimChar"/>
                <w:sz w:val="18"/>
                <w:szCs w:val="18"/>
              </w:rPr>
              <w:t>.</w:t>
            </w:r>
          </w:p>
        </w:tc>
        <w:tc>
          <w:tcPr>
            <w:tcW w:w="1303" w:type="dxa"/>
          </w:tcPr>
          <w:p w14:paraId="4AC35DD1" w14:textId="0663CDF9" w:rsidR="00E701D3" w:rsidRPr="00E701D3" w:rsidRDefault="006D3596" w:rsidP="004C5E17">
            <w:pPr>
              <w:pStyle w:val="BodyText"/>
              <w:rPr>
                <w:rFonts w:ascii="Consolas" w:hAnsi="Consolas"/>
                <w:sz w:val="18"/>
                <w:szCs w:val="18"/>
              </w:rPr>
            </w:pPr>
            <w:r>
              <w:rPr>
                <w:rFonts w:ascii="Consolas" w:hAnsi="Consolas"/>
                <w:sz w:val="18"/>
                <w:szCs w:val="18"/>
              </w:rPr>
              <w:t>190</w:t>
            </w:r>
          </w:p>
        </w:tc>
        <w:tc>
          <w:tcPr>
            <w:tcW w:w="1412" w:type="dxa"/>
          </w:tcPr>
          <w:p w14:paraId="43F2FCDB" w14:textId="1B4CCADA" w:rsidR="00E701D3" w:rsidRPr="00E701D3" w:rsidRDefault="00E701D3" w:rsidP="004C5E17">
            <w:pPr>
              <w:pStyle w:val="BodyText"/>
              <w:rPr>
                <w:rFonts w:ascii="Consolas" w:hAnsi="Consolas"/>
                <w:sz w:val="18"/>
                <w:szCs w:val="18"/>
              </w:rPr>
            </w:pPr>
            <w:r w:rsidRPr="00E701D3">
              <w:rPr>
                <w:rStyle w:val="VerbatimChar"/>
                <w:sz w:val="18"/>
                <w:szCs w:val="18"/>
              </w:rPr>
              <w:t>79.83193</w:t>
            </w:r>
          </w:p>
        </w:tc>
      </w:tr>
    </w:tbl>
    <w:p w14:paraId="171BE9FF" w14:textId="40A7E83F" w:rsidR="005E70A3" w:rsidRDefault="0087698D" w:rsidP="002F117D">
      <w:pPr>
        <w:pStyle w:val="FirstParagraph"/>
      </w:pPr>
      <w:r>
        <w:t xml:space="preserve">The data point in question belongs to </w:t>
      </w:r>
      <w:proofErr w:type="spellStart"/>
      <w:r>
        <w:t>Infinite</w:t>
      </w:r>
      <w:r w:rsidR="0006086E">
        <w:t>Space</w:t>
      </w:r>
      <w:proofErr w:type="spellEnd"/>
      <w:r>
        <w:t xml:space="preserve"> Building Solutions. We want to look at the share of other projects that this supplier takes on. We look at the top 3 and bottom 3 procurement description categories done by this supplier.</w:t>
      </w:r>
    </w:p>
    <w:p w14:paraId="01671ECF" w14:textId="77777777" w:rsidR="002F117D" w:rsidRDefault="002F117D" w:rsidP="002F117D">
      <w:pPr>
        <w:pStyle w:val="BodyText"/>
      </w:pPr>
    </w:p>
    <w:p w14:paraId="14BA216B" w14:textId="77777777" w:rsidR="002F117D" w:rsidRDefault="002F117D" w:rsidP="002F117D">
      <w:pPr>
        <w:pStyle w:val="BodyText"/>
      </w:pPr>
    </w:p>
    <w:p w14:paraId="0C09ADEF" w14:textId="77777777" w:rsidR="002F117D" w:rsidRPr="002F117D" w:rsidRDefault="002F117D" w:rsidP="002F117D">
      <w:pPr>
        <w:pStyle w:val="BodyText"/>
      </w:pPr>
    </w:p>
    <w:tbl>
      <w:tblPr>
        <w:tblStyle w:val="TableGrid"/>
        <w:tblW w:w="11057" w:type="dxa"/>
        <w:tblInd w:w="-743" w:type="dxa"/>
        <w:tblLook w:val="04A0" w:firstRow="1" w:lastRow="0" w:firstColumn="1" w:lastColumn="0" w:noHBand="0" w:noVBand="1"/>
      </w:tblPr>
      <w:tblGrid>
        <w:gridCol w:w="425"/>
        <w:gridCol w:w="3403"/>
        <w:gridCol w:w="4678"/>
        <w:gridCol w:w="1276"/>
        <w:gridCol w:w="1275"/>
      </w:tblGrid>
      <w:tr w:rsidR="006D3596" w14:paraId="7DBBEEB8" w14:textId="77777777" w:rsidTr="00433D9F">
        <w:trPr>
          <w:trHeight w:val="647"/>
        </w:trPr>
        <w:tc>
          <w:tcPr>
            <w:tcW w:w="425" w:type="dxa"/>
          </w:tcPr>
          <w:p w14:paraId="6129899B" w14:textId="77777777" w:rsidR="006D3596" w:rsidRPr="00F44B22" w:rsidRDefault="006D3596" w:rsidP="004C5E17">
            <w:pPr>
              <w:pStyle w:val="BodyText"/>
              <w:rPr>
                <w:rFonts w:ascii="Consolas" w:hAnsi="Consolas"/>
                <w:sz w:val="18"/>
                <w:szCs w:val="18"/>
              </w:rPr>
            </w:pPr>
            <w:r w:rsidRPr="00F44B22">
              <w:rPr>
                <w:rStyle w:val="VerbatimChar"/>
                <w:sz w:val="18"/>
                <w:szCs w:val="18"/>
              </w:rPr>
              <w:lastRenderedPageBreak/>
              <w:t xml:space="preserve">SN        </w:t>
            </w:r>
          </w:p>
        </w:tc>
        <w:tc>
          <w:tcPr>
            <w:tcW w:w="3403" w:type="dxa"/>
          </w:tcPr>
          <w:p w14:paraId="1190ED4E" w14:textId="77777777" w:rsidR="006D3596" w:rsidRPr="00F44B22" w:rsidRDefault="006D3596" w:rsidP="004C5E17">
            <w:pPr>
              <w:pStyle w:val="BodyText"/>
              <w:rPr>
                <w:rFonts w:ascii="Consolas" w:hAnsi="Consolas"/>
                <w:sz w:val="18"/>
                <w:szCs w:val="18"/>
              </w:rPr>
            </w:pPr>
            <w:r w:rsidRPr="00F44B22">
              <w:rPr>
                <w:rFonts w:ascii="Consolas" w:hAnsi="Consolas"/>
                <w:sz w:val="18"/>
                <w:szCs w:val="18"/>
              </w:rPr>
              <w:t>Supplier</w:t>
            </w:r>
          </w:p>
        </w:tc>
        <w:tc>
          <w:tcPr>
            <w:tcW w:w="4678" w:type="dxa"/>
          </w:tcPr>
          <w:p w14:paraId="7FEC95AF" w14:textId="77777777" w:rsidR="006D3596" w:rsidRPr="00F44B22" w:rsidRDefault="006D3596" w:rsidP="004C5E17">
            <w:pPr>
              <w:pStyle w:val="BodyText"/>
              <w:rPr>
                <w:rFonts w:ascii="Consolas" w:hAnsi="Consolas"/>
                <w:sz w:val="18"/>
                <w:szCs w:val="18"/>
              </w:rPr>
            </w:pPr>
            <w:r w:rsidRPr="00F44B22">
              <w:rPr>
                <w:rFonts w:ascii="Consolas" w:hAnsi="Consolas"/>
                <w:sz w:val="18"/>
                <w:szCs w:val="18"/>
              </w:rPr>
              <w:t>Description</w:t>
            </w:r>
          </w:p>
        </w:tc>
        <w:tc>
          <w:tcPr>
            <w:tcW w:w="1276" w:type="dxa"/>
          </w:tcPr>
          <w:p w14:paraId="32375E4D" w14:textId="77777777" w:rsidR="006D3596" w:rsidRPr="00F44B22" w:rsidRDefault="006D3596" w:rsidP="004C5E17">
            <w:pPr>
              <w:pStyle w:val="BodyText"/>
              <w:rPr>
                <w:rFonts w:ascii="Consolas" w:hAnsi="Consolas"/>
                <w:sz w:val="18"/>
                <w:szCs w:val="18"/>
              </w:rPr>
            </w:pPr>
            <w:r w:rsidRPr="00F44B22">
              <w:rPr>
                <w:rFonts w:ascii="Consolas" w:hAnsi="Consolas"/>
                <w:sz w:val="18"/>
                <w:szCs w:val="18"/>
              </w:rPr>
              <w:t>Frequency</w:t>
            </w:r>
          </w:p>
        </w:tc>
        <w:tc>
          <w:tcPr>
            <w:tcW w:w="1275" w:type="dxa"/>
          </w:tcPr>
          <w:p w14:paraId="1129700A" w14:textId="77777777" w:rsidR="006D3596" w:rsidRPr="00F44B22" w:rsidRDefault="006D3596" w:rsidP="004C5E17">
            <w:pPr>
              <w:pStyle w:val="BodyText"/>
              <w:rPr>
                <w:rFonts w:ascii="Consolas" w:hAnsi="Consolas"/>
                <w:sz w:val="18"/>
                <w:szCs w:val="18"/>
              </w:rPr>
            </w:pPr>
            <w:r w:rsidRPr="00F44B22">
              <w:rPr>
                <w:rFonts w:ascii="Consolas" w:hAnsi="Consolas"/>
                <w:sz w:val="18"/>
                <w:szCs w:val="18"/>
              </w:rPr>
              <w:t>Percentage</w:t>
            </w:r>
          </w:p>
        </w:tc>
      </w:tr>
      <w:tr w:rsidR="006D3596" w:rsidRPr="00E701D3" w14:paraId="75702549" w14:textId="77777777" w:rsidTr="00433D9F">
        <w:trPr>
          <w:trHeight w:val="670"/>
        </w:trPr>
        <w:tc>
          <w:tcPr>
            <w:tcW w:w="425" w:type="dxa"/>
          </w:tcPr>
          <w:p w14:paraId="2DC206CD" w14:textId="1CE41BDB" w:rsidR="006D3596" w:rsidRPr="00F44B22" w:rsidRDefault="006D3596" w:rsidP="004C5E17">
            <w:pPr>
              <w:pStyle w:val="BodyText"/>
              <w:rPr>
                <w:rFonts w:ascii="Consolas" w:hAnsi="Consolas"/>
                <w:sz w:val="18"/>
                <w:szCs w:val="18"/>
              </w:rPr>
            </w:pPr>
            <w:r w:rsidRPr="00F44B22">
              <w:rPr>
                <w:rFonts w:ascii="Consolas" w:hAnsi="Consolas"/>
                <w:sz w:val="18"/>
                <w:szCs w:val="18"/>
              </w:rPr>
              <w:t>1</w:t>
            </w:r>
          </w:p>
        </w:tc>
        <w:tc>
          <w:tcPr>
            <w:tcW w:w="3403" w:type="dxa"/>
          </w:tcPr>
          <w:p w14:paraId="078BA6FD" w14:textId="77777777" w:rsidR="006D3596" w:rsidRPr="00F44B22" w:rsidRDefault="006D3596" w:rsidP="004C5E17">
            <w:pPr>
              <w:pStyle w:val="BodyText"/>
              <w:rPr>
                <w:rFonts w:ascii="Consolas" w:hAnsi="Consolas"/>
                <w:sz w:val="18"/>
                <w:szCs w:val="18"/>
              </w:rPr>
            </w:pPr>
            <w:proofErr w:type="spellStart"/>
            <w:r w:rsidRPr="00F44B22">
              <w:rPr>
                <w:rStyle w:val="VerbatimChar"/>
                <w:sz w:val="18"/>
                <w:szCs w:val="18"/>
              </w:rPr>
              <w:t>InfiniteSpace</w:t>
            </w:r>
            <w:proofErr w:type="spellEnd"/>
            <w:r w:rsidRPr="00F44B22">
              <w:rPr>
                <w:rStyle w:val="VerbatimChar"/>
                <w:sz w:val="18"/>
                <w:szCs w:val="18"/>
              </w:rPr>
              <w:t xml:space="preserve"> Building Solutions</w:t>
            </w:r>
          </w:p>
        </w:tc>
        <w:tc>
          <w:tcPr>
            <w:tcW w:w="4678" w:type="dxa"/>
          </w:tcPr>
          <w:p w14:paraId="1391FA73" w14:textId="77777777" w:rsidR="006D3596" w:rsidRPr="00F44B22" w:rsidRDefault="006D3596" w:rsidP="004C5E17">
            <w:pPr>
              <w:pStyle w:val="BodyText"/>
              <w:rPr>
                <w:rFonts w:ascii="Consolas" w:hAnsi="Consolas"/>
                <w:sz w:val="18"/>
                <w:szCs w:val="18"/>
              </w:rPr>
            </w:pPr>
            <w:r w:rsidRPr="00F44B22">
              <w:rPr>
                <w:rStyle w:val="VerbatimChar"/>
                <w:sz w:val="18"/>
                <w:szCs w:val="18"/>
              </w:rPr>
              <w:t>Cleaning supplies and consumables procurement and management.</w:t>
            </w:r>
          </w:p>
        </w:tc>
        <w:tc>
          <w:tcPr>
            <w:tcW w:w="1276" w:type="dxa"/>
          </w:tcPr>
          <w:p w14:paraId="6241CCA4" w14:textId="2B31202A" w:rsidR="006D3596" w:rsidRPr="00F44B22" w:rsidRDefault="006D3596" w:rsidP="004C5E17">
            <w:pPr>
              <w:pStyle w:val="BodyText"/>
              <w:rPr>
                <w:rFonts w:ascii="Consolas" w:hAnsi="Consolas"/>
                <w:sz w:val="18"/>
                <w:szCs w:val="18"/>
              </w:rPr>
            </w:pPr>
            <w:r w:rsidRPr="00F44B22">
              <w:rPr>
                <w:rFonts w:ascii="Consolas" w:hAnsi="Consolas"/>
                <w:sz w:val="18"/>
                <w:szCs w:val="18"/>
              </w:rPr>
              <w:t>190</w:t>
            </w:r>
          </w:p>
        </w:tc>
        <w:tc>
          <w:tcPr>
            <w:tcW w:w="1275" w:type="dxa"/>
          </w:tcPr>
          <w:p w14:paraId="115498A1" w14:textId="77777777" w:rsidR="006D3596" w:rsidRPr="00F44B22" w:rsidRDefault="006D3596" w:rsidP="004C5E17">
            <w:pPr>
              <w:pStyle w:val="BodyText"/>
              <w:rPr>
                <w:rFonts w:ascii="Consolas" w:hAnsi="Consolas"/>
                <w:sz w:val="18"/>
                <w:szCs w:val="18"/>
              </w:rPr>
            </w:pPr>
            <w:r w:rsidRPr="00F44B22">
              <w:rPr>
                <w:rStyle w:val="VerbatimChar"/>
                <w:sz w:val="18"/>
                <w:szCs w:val="18"/>
              </w:rPr>
              <w:t>79.83193</w:t>
            </w:r>
          </w:p>
        </w:tc>
      </w:tr>
      <w:tr w:rsidR="006D3596" w:rsidRPr="00E701D3" w14:paraId="57A9E765" w14:textId="77777777" w:rsidTr="00433D9F">
        <w:trPr>
          <w:trHeight w:val="670"/>
        </w:trPr>
        <w:tc>
          <w:tcPr>
            <w:tcW w:w="425" w:type="dxa"/>
          </w:tcPr>
          <w:p w14:paraId="40DDA6F9" w14:textId="63A65596" w:rsidR="006D3596" w:rsidRPr="00F44B22" w:rsidRDefault="006E3707" w:rsidP="004C5E17">
            <w:pPr>
              <w:pStyle w:val="BodyText"/>
              <w:rPr>
                <w:rFonts w:ascii="Consolas" w:hAnsi="Consolas"/>
                <w:sz w:val="18"/>
                <w:szCs w:val="18"/>
              </w:rPr>
            </w:pPr>
            <w:r w:rsidRPr="00F44B22">
              <w:rPr>
                <w:rFonts w:ascii="Consolas" w:hAnsi="Consolas"/>
                <w:sz w:val="18"/>
                <w:szCs w:val="18"/>
              </w:rPr>
              <w:t>2</w:t>
            </w:r>
          </w:p>
        </w:tc>
        <w:tc>
          <w:tcPr>
            <w:tcW w:w="3403" w:type="dxa"/>
          </w:tcPr>
          <w:p w14:paraId="125B6D0F" w14:textId="69E74803" w:rsidR="006D3596" w:rsidRPr="00F44B22" w:rsidRDefault="006E3707" w:rsidP="004C5E17">
            <w:pPr>
              <w:pStyle w:val="BodyText"/>
              <w:rPr>
                <w:rStyle w:val="VerbatimChar"/>
                <w:sz w:val="18"/>
                <w:szCs w:val="18"/>
              </w:rPr>
            </w:pPr>
            <w:proofErr w:type="spellStart"/>
            <w:r w:rsidRPr="00F44B22">
              <w:rPr>
                <w:rStyle w:val="VerbatimChar"/>
                <w:sz w:val="18"/>
                <w:szCs w:val="18"/>
              </w:rPr>
              <w:t>InfiniteSpace</w:t>
            </w:r>
            <w:proofErr w:type="spellEnd"/>
            <w:r w:rsidRPr="00F44B22">
              <w:rPr>
                <w:rStyle w:val="VerbatimChar"/>
                <w:sz w:val="18"/>
                <w:szCs w:val="18"/>
              </w:rPr>
              <w:t xml:space="preserve"> Building Solutions</w:t>
            </w:r>
          </w:p>
        </w:tc>
        <w:tc>
          <w:tcPr>
            <w:tcW w:w="4678" w:type="dxa"/>
          </w:tcPr>
          <w:p w14:paraId="5873A0AE" w14:textId="2E569EF1" w:rsidR="006D3596" w:rsidRPr="00F44B22" w:rsidRDefault="006E3707" w:rsidP="004C5E17">
            <w:pPr>
              <w:pStyle w:val="BodyText"/>
              <w:rPr>
                <w:rStyle w:val="VerbatimChar"/>
                <w:sz w:val="18"/>
                <w:szCs w:val="18"/>
              </w:rPr>
            </w:pPr>
            <w:r w:rsidRPr="00F44B22">
              <w:rPr>
                <w:rStyle w:val="VerbatimChar"/>
                <w:sz w:val="18"/>
                <w:szCs w:val="18"/>
              </w:rPr>
              <w:t xml:space="preserve">Building automation and smart technology integration.    </w:t>
            </w:r>
          </w:p>
        </w:tc>
        <w:tc>
          <w:tcPr>
            <w:tcW w:w="1276" w:type="dxa"/>
          </w:tcPr>
          <w:p w14:paraId="66E810F2" w14:textId="4C1C432A" w:rsidR="006D3596" w:rsidRPr="00F44B22" w:rsidRDefault="006E3707" w:rsidP="004C5E17">
            <w:pPr>
              <w:pStyle w:val="BodyText"/>
              <w:rPr>
                <w:rFonts w:ascii="Consolas" w:hAnsi="Consolas"/>
                <w:sz w:val="18"/>
                <w:szCs w:val="18"/>
              </w:rPr>
            </w:pPr>
            <w:r w:rsidRPr="00F44B22">
              <w:rPr>
                <w:rFonts w:ascii="Consolas" w:hAnsi="Consolas"/>
                <w:sz w:val="18"/>
                <w:szCs w:val="18"/>
              </w:rPr>
              <w:t>5</w:t>
            </w:r>
          </w:p>
        </w:tc>
        <w:tc>
          <w:tcPr>
            <w:tcW w:w="1275" w:type="dxa"/>
          </w:tcPr>
          <w:p w14:paraId="6FDEF6AB" w14:textId="22C787A9" w:rsidR="006D3596" w:rsidRPr="00F44B22" w:rsidRDefault="006E3707" w:rsidP="004C5E17">
            <w:pPr>
              <w:pStyle w:val="BodyText"/>
              <w:rPr>
                <w:rStyle w:val="VerbatimChar"/>
                <w:sz w:val="18"/>
                <w:szCs w:val="18"/>
              </w:rPr>
            </w:pPr>
            <w:r w:rsidRPr="00F44B22">
              <w:rPr>
                <w:rStyle w:val="VerbatimChar"/>
                <w:sz w:val="18"/>
                <w:szCs w:val="18"/>
              </w:rPr>
              <w:t>2.1008403</w:t>
            </w:r>
          </w:p>
        </w:tc>
      </w:tr>
      <w:tr w:rsidR="006D3596" w:rsidRPr="00E701D3" w14:paraId="37193445" w14:textId="77777777" w:rsidTr="00433D9F">
        <w:trPr>
          <w:trHeight w:val="670"/>
        </w:trPr>
        <w:tc>
          <w:tcPr>
            <w:tcW w:w="425" w:type="dxa"/>
          </w:tcPr>
          <w:p w14:paraId="48C7E1FE" w14:textId="7F2E3B19" w:rsidR="006D3596" w:rsidRPr="00F44B22" w:rsidRDefault="006E3707" w:rsidP="004C5E17">
            <w:pPr>
              <w:pStyle w:val="BodyText"/>
              <w:rPr>
                <w:rFonts w:ascii="Consolas" w:hAnsi="Consolas"/>
                <w:sz w:val="18"/>
                <w:szCs w:val="18"/>
              </w:rPr>
            </w:pPr>
            <w:r w:rsidRPr="00F44B22">
              <w:rPr>
                <w:rFonts w:ascii="Consolas" w:hAnsi="Consolas"/>
                <w:sz w:val="18"/>
                <w:szCs w:val="18"/>
              </w:rPr>
              <w:t>3</w:t>
            </w:r>
          </w:p>
        </w:tc>
        <w:tc>
          <w:tcPr>
            <w:tcW w:w="3403" w:type="dxa"/>
          </w:tcPr>
          <w:p w14:paraId="3735B4E6" w14:textId="68C28F60" w:rsidR="006D3596" w:rsidRPr="00F44B22" w:rsidRDefault="006E3707" w:rsidP="004C5E17">
            <w:pPr>
              <w:pStyle w:val="BodyText"/>
              <w:rPr>
                <w:rStyle w:val="VerbatimChar"/>
                <w:sz w:val="18"/>
                <w:szCs w:val="18"/>
              </w:rPr>
            </w:pPr>
            <w:proofErr w:type="spellStart"/>
            <w:r w:rsidRPr="00F44B22">
              <w:rPr>
                <w:rStyle w:val="VerbatimChar"/>
                <w:sz w:val="18"/>
                <w:szCs w:val="18"/>
              </w:rPr>
              <w:t>InfiniteSpace</w:t>
            </w:r>
            <w:proofErr w:type="spellEnd"/>
            <w:r w:rsidRPr="00F44B22">
              <w:rPr>
                <w:rStyle w:val="VerbatimChar"/>
                <w:sz w:val="18"/>
                <w:szCs w:val="18"/>
              </w:rPr>
              <w:t xml:space="preserve"> Building Solutions</w:t>
            </w:r>
          </w:p>
        </w:tc>
        <w:tc>
          <w:tcPr>
            <w:tcW w:w="4678" w:type="dxa"/>
          </w:tcPr>
          <w:p w14:paraId="2269BD6A" w14:textId="0D21BCFF" w:rsidR="006D3596" w:rsidRPr="00F44B22" w:rsidRDefault="006E3707" w:rsidP="004C5E17">
            <w:pPr>
              <w:pStyle w:val="BodyText"/>
              <w:rPr>
                <w:rStyle w:val="VerbatimChar"/>
                <w:sz w:val="18"/>
                <w:szCs w:val="18"/>
              </w:rPr>
            </w:pPr>
            <w:r w:rsidRPr="00F44B22">
              <w:rPr>
                <w:rStyle w:val="VerbatimChar"/>
                <w:sz w:val="18"/>
                <w:szCs w:val="18"/>
              </w:rPr>
              <w:t>Building maintenance and repairs</w:t>
            </w:r>
            <w:r w:rsidRPr="00F44B22">
              <w:rPr>
                <w:rStyle w:val="VerbatimChar"/>
                <w:sz w:val="18"/>
                <w:szCs w:val="18"/>
              </w:rPr>
              <w:t>.</w:t>
            </w:r>
          </w:p>
        </w:tc>
        <w:tc>
          <w:tcPr>
            <w:tcW w:w="1276" w:type="dxa"/>
          </w:tcPr>
          <w:p w14:paraId="4D944786" w14:textId="764A8069" w:rsidR="006D3596" w:rsidRPr="00F44B22" w:rsidRDefault="006E3707" w:rsidP="004C5E17">
            <w:pPr>
              <w:pStyle w:val="BodyText"/>
              <w:rPr>
                <w:rFonts w:ascii="Consolas" w:hAnsi="Consolas"/>
                <w:sz w:val="18"/>
                <w:szCs w:val="18"/>
              </w:rPr>
            </w:pPr>
            <w:r w:rsidRPr="00F44B22">
              <w:rPr>
                <w:rFonts w:ascii="Consolas" w:hAnsi="Consolas"/>
                <w:sz w:val="18"/>
                <w:szCs w:val="18"/>
              </w:rPr>
              <w:t>5</w:t>
            </w:r>
          </w:p>
        </w:tc>
        <w:tc>
          <w:tcPr>
            <w:tcW w:w="1275" w:type="dxa"/>
          </w:tcPr>
          <w:p w14:paraId="4C88CC7A" w14:textId="185B0128" w:rsidR="006D3596" w:rsidRPr="00F44B22" w:rsidRDefault="006E3707" w:rsidP="004C5E17">
            <w:pPr>
              <w:pStyle w:val="BodyText"/>
              <w:rPr>
                <w:rStyle w:val="VerbatimChar"/>
                <w:sz w:val="18"/>
                <w:szCs w:val="18"/>
              </w:rPr>
            </w:pPr>
            <w:r w:rsidRPr="00F44B22">
              <w:rPr>
                <w:rStyle w:val="VerbatimChar"/>
                <w:sz w:val="18"/>
                <w:szCs w:val="18"/>
              </w:rPr>
              <w:t>2.1008403</w:t>
            </w:r>
          </w:p>
        </w:tc>
      </w:tr>
      <w:tr w:rsidR="006D3596" w:rsidRPr="00E701D3" w14:paraId="6E1E5C65" w14:textId="77777777" w:rsidTr="00433D9F">
        <w:trPr>
          <w:trHeight w:val="670"/>
        </w:trPr>
        <w:tc>
          <w:tcPr>
            <w:tcW w:w="425" w:type="dxa"/>
          </w:tcPr>
          <w:p w14:paraId="106555DD" w14:textId="464A3D8C" w:rsidR="006D3596" w:rsidRPr="00F44B22" w:rsidRDefault="006E3707" w:rsidP="004C5E17">
            <w:pPr>
              <w:pStyle w:val="BodyText"/>
              <w:rPr>
                <w:rFonts w:ascii="Consolas" w:hAnsi="Consolas"/>
                <w:sz w:val="18"/>
                <w:szCs w:val="18"/>
              </w:rPr>
            </w:pPr>
            <w:r w:rsidRPr="00F44B22">
              <w:rPr>
                <w:rFonts w:ascii="Consolas" w:hAnsi="Consolas"/>
                <w:sz w:val="18"/>
                <w:szCs w:val="18"/>
              </w:rPr>
              <w:t>17</w:t>
            </w:r>
          </w:p>
        </w:tc>
        <w:tc>
          <w:tcPr>
            <w:tcW w:w="3403" w:type="dxa"/>
          </w:tcPr>
          <w:p w14:paraId="1A9BC3EC" w14:textId="0B03527C" w:rsidR="006D3596" w:rsidRPr="00F44B22" w:rsidRDefault="006E3707" w:rsidP="004C5E17">
            <w:pPr>
              <w:pStyle w:val="BodyText"/>
              <w:rPr>
                <w:rStyle w:val="VerbatimChar"/>
                <w:sz w:val="18"/>
                <w:szCs w:val="18"/>
              </w:rPr>
            </w:pPr>
            <w:proofErr w:type="spellStart"/>
            <w:r w:rsidRPr="00F44B22">
              <w:rPr>
                <w:rStyle w:val="VerbatimChar"/>
                <w:sz w:val="18"/>
                <w:szCs w:val="18"/>
              </w:rPr>
              <w:t>InfiniteSpace</w:t>
            </w:r>
            <w:proofErr w:type="spellEnd"/>
            <w:r w:rsidRPr="00F44B22">
              <w:rPr>
                <w:rStyle w:val="VerbatimChar"/>
                <w:sz w:val="18"/>
                <w:szCs w:val="18"/>
              </w:rPr>
              <w:t xml:space="preserve"> Building Solutions</w:t>
            </w:r>
          </w:p>
        </w:tc>
        <w:tc>
          <w:tcPr>
            <w:tcW w:w="4678" w:type="dxa"/>
          </w:tcPr>
          <w:p w14:paraId="64B7F6E5" w14:textId="769A00E8" w:rsidR="006D3596" w:rsidRPr="00F44B22" w:rsidRDefault="006E3707" w:rsidP="004C5E17">
            <w:pPr>
              <w:pStyle w:val="BodyText"/>
              <w:rPr>
                <w:rStyle w:val="VerbatimChar"/>
                <w:sz w:val="18"/>
                <w:szCs w:val="18"/>
              </w:rPr>
            </w:pPr>
            <w:r w:rsidRPr="00F44B22">
              <w:rPr>
                <w:rStyle w:val="VerbatimChar"/>
                <w:sz w:val="18"/>
                <w:szCs w:val="18"/>
              </w:rPr>
              <w:t xml:space="preserve">Expert landscaping and groundskeeping solutions.    </w:t>
            </w:r>
          </w:p>
        </w:tc>
        <w:tc>
          <w:tcPr>
            <w:tcW w:w="1276" w:type="dxa"/>
          </w:tcPr>
          <w:p w14:paraId="008797F2" w14:textId="232D415E" w:rsidR="006D3596" w:rsidRPr="00F44B22" w:rsidRDefault="006E3707" w:rsidP="004C5E17">
            <w:pPr>
              <w:pStyle w:val="BodyText"/>
              <w:rPr>
                <w:rFonts w:ascii="Consolas" w:hAnsi="Consolas"/>
                <w:sz w:val="18"/>
                <w:szCs w:val="18"/>
              </w:rPr>
            </w:pPr>
            <w:r w:rsidRPr="00F44B22">
              <w:rPr>
                <w:rFonts w:ascii="Consolas" w:hAnsi="Consolas"/>
                <w:sz w:val="18"/>
                <w:szCs w:val="18"/>
              </w:rPr>
              <w:t>1</w:t>
            </w:r>
          </w:p>
        </w:tc>
        <w:tc>
          <w:tcPr>
            <w:tcW w:w="1275" w:type="dxa"/>
          </w:tcPr>
          <w:p w14:paraId="6CDCCFD7" w14:textId="441440BE" w:rsidR="006D3596" w:rsidRPr="00F44B22" w:rsidRDefault="006E3707" w:rsidP="004C5E17">
            <w:pPr>
              <w:pStyle w:val="BodyText"/>
              <w:rPr>
                <w:rStyle w:val="VerbatimChar"/>
                <w:sz w:val="18"/>
                <w:szCs w:val="18"/>
              </w:rPr>
            </w:pPr>
            <w:r w:rsidRPr="00F44B22">
              <w:rPr>
                <w:rStyle w:val="VerbatimChar"/>
                <w:sz w:val="18"/>
                <w:szCs w:val="18"/>
              </w:rPr>
              <w:t>0.4201681</w:t>
            </w:r>
          </w:p>
        </w:tc>
      </w:tr>
      <w:tr w:rsidR="006D3596" w:rsidRPr="00E701D3" w14:paraId="5AB73B61" w14:textId="77777777" w:rsidTr="00433D9F">
        <w:trPr>
          <w:trHeight w:val="670"/>
        </w:trPr>
        <w:tc>
          <w:tcPr>
            <w:tcW w:w="425" w:type="dxa"/>
          </w:tcPr>
          <w:p w14:paraId="3F0A6B30" w14:textId="29A70548" w:rsidR="006D3596" w:rsidRPr="00F44B22" w:rsidRDefault="006E3707" w:rsidP="004C5E17">
            <w:pPr>
              <w:pStyle w:val="BodyText"/>
              <w:rPr>
                <w:rFonts w:ascii="Consolas" w:hAnsi="Consolas"/>
                <w:sz w:val="18"/>
                <w:szCs w:val="18"/>
              </w:rPr>
            </w:pPr>
            <w:r w:rsidRPr="00F44B22">
              <w:rPr>
                <w:rFonts w:ascii="Consolas" w:hAnsi="Consolas"/>
                <w:sz w:val="18"/>
                <w:szCs w:val="18"/>
              </w:rPr>
              <w:t>18</w:t>
            </w:r>
          </w:p>
        </w:tc>
        <w:tc>
          <w:tcPr>
            <w:tcW w:w="3403" w:type="dxa"/>
          </w:tcPr>
          <w:p w14:paraId="0DBED659" w14:textId="19801526" w:rsidR="006D3596" w:rsidRPr="00F44B22" w:rsidRDefault="006E3707" w:rsidP="004C5E17">
            <w:pPr>
              <w:pStyle w:val="BodyText"/>
              <w:rPr>
                <w:rStyle w:val="VerbatimChar"/>
                <w:sz w:val="18"/>
                <w:szCs w:val="18"/>
              </w:rPr>
            </w:pPr>
            <w:proofErr w:type="spellStart"/>
            <w:r w:rsidRPr="00F44B22">
              <w:rPr>
                <w:rStyle w:val="VerbatimChar"/>
                <w:sz w:val="18"/>
                <w:szCs w:val="18"/>
              </w:rPr>
              <w:t>InfiniteSpace</w:t>
            </w:r>
            <w:proofErr w:type="spellEnd"/>
            <w:r w:rsidRPr="00F44B22">
              <w:rPr>
                <w:rStyle w:val="VerbatimChar"/>
                <w:sz w:val="18"/>
                <w:szCs w:val="18"/>
              </w:rPr>
              <w:t xml:space="preserve"> Building Solutions</w:t>
            </w:r>
          </w:p>
        </w:tc>
        <w:tc>
          <w:tcPr>
            <w:tcW w:w="4678" w:type="dxa"/>
          </w:tcPr>
          <w:p w14:paraId="6D31D9DD" w14:textId="065AC929" w:rsidR="006D3596" w:rsidRPr="00F44B22" w:rsidRDefault="006E3707" w:rsidP="004C5E17">
            <w:pPr>
              <w:pStyle w:val="BodyText"/>
              <w:rPr>
                <w:rStyle w:val="VerbatimChar"/>
                <w:sz w:val="18"/>
                <w:szCs w:val="18"/>
              </w:rPr>
            </w:pPr>
            <w:r w:rsidRPr="00F44B22">
              <w:rPr>
                <w:rStyle w:val="VerbatimChar"/>
                <w:sz w:val="18"/>
                <w:szCs w:val="18"/>
              </w:rPr>
              <w:t xml:space="preserve">Parking management and traffic control solutions. </w:t>
            </w:r>
          </w:p>
        </w:tc>
        <w:tc>
          <w:tcPr>
            <w:tcW w:w="1276" w:type="dxa"/>
          </w:tcPr>
          <w:p w14:paraId="2C7FE2B4" w14:textId="1A318B7E" w:rsidR="006D3596" w:rsidRPr="00F44B22" w:rsidRDefault="006E3707" w:rsidP="004C5E17">
            <w:pPr>
              <w:pStyle w:val="BodyText"/>
              <w:rPr>
                <w:rFonts w:ascii="Consolas" w:hAnsi="Consolas"/>
                <w:sz w:val="18"/>
                <w:szCs w:val="18"/>
              </w:rPr>
            </w:pPr>
            <w:r w:rsidRPr="00F44B22">
              <w:rPr>
                <w:rFonts w:ascii="Consolas" w:hAnsi="Consolas"/>
                <w:sz w:val="18"/>
                <w:szCs w:val="18"/>
              </w:rPr>
              <w:t>1</w:t>
            </w:r>
          </w:p>
        </w:tc>
        <w:tc>
          <w:tcPr>
            <w:tcW w:w="1275" w:type="dxa"/>
          </w:tcPr>
          <w:p w14:paraId="4128F120" w14:textId="580484A0" w:rsidR="006D3596" w:rsidRPr="00F44B22" w:rsidRDefault="006E3707" w:rsidP="004C5E17">
            <w:pPr>
              <w:pStyle w:val="BodyText"/>
              <w:rPr>
                <w:rStyle w:val="VerbatimChar"/>
                <w:sz w:val="18"/>
                <w:szCs w:val="18"/>
              </w:rPr>
            </w:pPr>
            <w:r w:rsidRPr="00F44B22">
              <w:rPr>
                <w:rStyle w:val="VerbatimChar"/>
                <w:sz w:val="18"/>
                <w:szCs w:val="18"/>
              </w:rPr>
              <w:t>0.4201681</w:t>
            </w:r>
          </w:p>
        </w:tc>
      </w:tr>
      <w:tr w:rsidR="006D3596" w:rsidRPr="00E701D3" w14:paraId="637290C3" w14:textId="77777777" w:rsidTr="00433D9F">
        <w:trPr>
          <w:trHeight w:val="670"/>
        </w:trPr>
        <w:tc>
          <w:tcPr>
            <w:tcW w:w="425" w:type="dxa"/>
          </w:tcPr>
          <w:p w14:paraId="2335B7FE" w14:textId="302BAAB4" w:rsidR="006D3596" w:rsidRPr="00F44B22" w:rsidRDefault="006E3707" w:rsidP="004C5E17">
            <w:pPr>
              <w:pStyle w:val="BodyText"/>
              <w:rPr>
                <w:rFonts w:ascii="Consolas" w:hAnsi="Consolas"/>
                <w:sz w:val="18"/>
                <w:szCs w:val="18"/>
              </w:rPr>
            </w:pPr>
            <w:r w:rsidRPr="00F44B22">
              <w:rPr>
                <w:rFonts w:ascii="Consolas" w:hAnsi="Consolas"/>
                <w:sz w:val="18"/>
                <w:szCs w:val="18"/>
              </w:rPr>
              <w:t>19</w:t>
            </w:r>
          </w:p>
        </w:tc>
        <w:tc>
          <w:tcPr>
            <w:tcW w:w="3403" w:type="dxa"/>
          </w:tcPr>
          <w:p w14:paraId="5EE03FCC" w14:textId="61B80BD3" w:rsidR="006D3596" w:rsidRPr="00F44B22" w:rsidRDefault="006E3707" w:rsidP="004C5E17">
            <w:pPr>
              <w:pStyle w:val="BodyText"/>
              <w:rPr>
                <w:rStyle w:val="VerbatimChar"/>
                <w:sz w:val="18"/>
                <w:szCs w:val="18"/>
              </w:rPr>
            </w:pPr>
            <w:proofErr w:type="spellStart"/>
            <w:r w:rsidRPr="00F44B22">
              <w:rPr>
                <w:rStyle w:val="VerbatimChar"/>
                <w:sz w:val="18"/>
                <w:szCs w:val="18"/>
              </w:rPr>
              <w:t>InfiniteSpace</w:t>
            </w:r>
            <w:proofErr w:type="spellEnd"/>
            <w:r w:rsidRPr="00F44B22">
              <w:rPr>
                <w:rStyle w:val="VerbatimChar"/>
                <w:sz w:val="18"/>
                <w:szCs w:val="18"/>
              </w:rPr>
              <w:t xml:space="preserve"> Building Solutions</w:t>
            </w:r>
          </w:p>
        </w:tc>
        <w:tc>
          <w:tcPr>
            <w:tcW w:w="4678" w:type="dxa"/>
          </w:tcPr>
          <w:p w14:paraId="5BFC5B9C" w14:textId="5CB20772" w:rsidR="006D3596" w:rsidRPr="00F44B22" w:rsidRDefault="006E3707" w:rsidP="004C5E17">
            <w:pPr>
              <w:pStyle w:val="BodyText"/>
              <w:rPr>
                <w:rStyle w:val="VerbatimChar"/>
                <w:sz w:val="18"/>
                <w:szCs w:val="18"/>
              </w:rPr>
            </w:pPr>
            <w:r w:rsidRPr="00F44B22">
              <w:rPr>
                <w:rStyle w:val="VerbatimChar"/>
                <w:sz w:val="18"/>
                <w:szCs w:val="18"/>
              </w:rPr>
              <w:t>Space planning and utilization optimization strategies.</w:t>
            </w:r>
          </w:p>
        </w:tc>
        <w:tc>
          <w:tcPr>
            <w:tcW w:w="1276" w:type="dxa"/>
          </w:tcPr>
          <w:p w14:paraId="7B535C17" w14:textId="79C11A2A" w:rsidR="006D3596" w:rsidRPr="00F44B22" w:rsidRDefault="006E3707" w:rsidP="004C5E17">
            <w:pPr>
              <w:pStyle w:val="BodyText"/>
              <w:rPr>
                <w:rFonts w:ascii="Consolas" w:hAnsi="Consolas"/>
                <w:sz w:val="18"/>
                <w:szCs w:val="18"/>
              </w:rPr>
            </w:pPr>
            <w:r w:rsidRPr="00F44B22">
              <w:rPr>
                <w:rFonts w:ascii="Consolas" w:hAnsi="Consolas"/>
                <w:sz w:val="18"/>
                <w:szCs w:val="18"/>
              </w:rPr>
              <w:t>1</w:t>
            </w:r>
          </w:p>
        </w:tc>
        <w:tc>
          <w:tcPr>
            <w:tcW w:w="1275" w:type="dxa"/>
          </w:tcPr>
          <w:p w14:paraId="4800D830" w14:textId="4060D287" w:rsidR="006D3596" w:rsidRPr="00F44B22" w:rsidRDefault="006E3707" w:rsidP="004C5E17">
            <w:pPr>
              <w:pStyle w:val="BodyText"/>
              <w:rPr>
                <w:rStyle w:val="VerbatimChar"/>
                <w:sz w:val="18"/>
                <w:szCs w:val="18"/>
              </w:rPr>
            </w:pPr>
            <w:r w:rsidRPr="00F44B22">
              <w:rPr>
                <w:rStyle w:val="VerbatimChar"/>
                <w:sz w:val="18"/>
                <w:szCs w:val="18"/>
              </w:rPr>
              <w:t>0.4201681</w:t>
            </w:r>
          </w:p>
        </w:tc>
      </w:tr>
    </w:tbl>
    <w:p w14:paraId="33401375" w14:textId="77777777" w:rsidR="00E0440B" w:rsidRDefault="0087698D">
      <w:pPr>
        <w:pStyle w:val="FirstParagraph"/>
      </w:pPr>
      <w:r>
        <w:t>We observe that there are 19 different procurement description types that the supplier takes on, but the other 18 types take between 0.4%-2.1% share of the projects done by said supplier. This means that the supplier can perform a lot of different projects, but only “Cleaning supplies and consumables procurement and management” is heavily preferred by agencies for this supplier.</w:t>
      </w:r>
    </w:p>
    <w:p w14:paraId="2465E440" w14:textId="77777777" w:rsidR="005E70A3" w:rsidRDefault="005E70A3">
      <w:pPr>
        <w:rPr>
          <w:rFonts w:asciiTheme="majorHAnsi" w:eastAsiaTheme="majorEastAsia" w:hAnsiTheme="majorHAnsi" w:cstheme="majorBidi"/>
          <w:b/>
          <w:bCs/>
          <w:color w:val="4F81BD" w:themeColor="accent1"/>
          <w:sz w:val="32"/>
          <w:szCs w:val="32"/>
        </w:rPr>
      </w:pPr>
      <w:bookmarkStart w:id="6" w:name="correlation-between-agency-and-supplier"/>
      <w:bookmarkEnd w:id="5"/>
      <w:r>
        <w:br w:type="page"/>
      </w:r>
    </w:p>
    <w:p w14:paraId="33401376" w14:textId="24EC9D93" w:rsidR="00E0440B" w:rsidRDefault="0087698D">
      <w:pPr>
        <w:pStyle w:val="Heading1"/>
      </w:pPr>
      <w:r>
        <w:lastRenderedPageBreak/>
        <w:t>Correlation Between Agency and Supplier</w:t>
      </w:r>
    </w:p>
    <w:p w14:paraId="33401377" w14:textId="77777777" w:rsidR="00E0440B" w:rsidRDefault="0087698D">
      <w:pPr>
        <w:pStyle w:val="FirstParagraph"/>
      </w:pPr>
      <w:r>
        <w:t>Finally, we also want to analyse if there are agencies that are particularly reliant on a particular supplier for their needs.</w:t>
      </w:r>
    </w:p>
    <w:p w14:paraId="33401378" w14:textId="77777777" w:rsidR="00E0440B" w:rsidRDefault="0087698D">
      <w:pPr>
        <w:pStyle w:val="SourceCode"/>
      </w:pPr>
      <w:r>
        <w:rPr>
          <w:rStyle w:val="VerbatimChar"/>
        </w:rPr>
        <w:t xml:space="preserve">##    Min. 1st Qu.  Median    Mean 3rd Qu.    Max. </w:t>
      </w:r>
      <w:r>
        <w:br/>
      </w:r>
      <w:r>
        <w:rPr>
          <w:rStyle w:val="VerbatimChar"/>
        </w:rPr>
        <w:t>#</w:t>
      </w:r>
      <w:proofErr w:type="gramStart"/>
      <w:r>
        <w:rPr>
          <w:rStyle w:val="VerbatimChar"/>
        </w:rPr>
        <w:t>#  0.1706</w:t>
      </w:r>
      <w:proofErr w:type="gramEnd"/>
      <w:r>
        <w:rPr>
          <w:rStyle w:val="VerbatimChar"/>
        </w:rPr>
        <w:t xml:space="preserve">  0.6135  </w:t>
      </w:r>
      <w:r w:rsidRPr="004B3C81">
        <w:rPr>
          <w:rStyle w:val="VerbatimChar"/>
          <w:b/>
          <w:bCs/>
          <w:highlight w:val="yellow"/>
        </w:rPr>
        <w:t>0.9203</w:t>
      </w:r>
      <w:r>
        <w:rPr>
          <w:rStyle w:val="VerbatimChar"/>
        </w:rPr>
        <w:t xml:space="preserve">  1.1119  1.4286 </w:t>
      </w:r>
      <w:r w:rsidRPr="004B3C81">
        <w:rPr>
          <w:rStyle w:val="VerbatimChar"/>
          <w:b/>
          <w:bCs/>
          <w:highlight w:val="yellow"/>
        </w:rPr>
        <w:t>31.8919</w:t>
      </w:r>
    </w:p>
    <w:p w14:paraId="12F2F7E9" w14:textId="6A6258F4" w:rsidR="005E70A3" w:rsidRDefault="0087698D" w:rsidP="002F117D">
      <w:pPr>
        <w:pStyle w:val="FirstParagraph"/>
        <w:jc w:val="center"/>
      </w:pPr>
      <w:r>
        <w:rPr>
          <w:noProof/>
        </w:rPr>
        <w:drawing>
          <wp:inline distT="0" distB="0" distL="0" distR="0" wp14:anchorId="33401387" wp14:editId="33401388">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ain2_files/figure-docx/unnamed-chunk-2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340137A" w14:textId="5F712706" w:rsidR="00E0440B" w:rsidRDefault="0087698D">
      <w:pPr>
        <w:pStyle w:val="FirstParagraph"/>
      </w:pPr>
      <w:r>
        <w:t xml:space="preserve">From the data above, it is apparent that most agencies do not over rely on one </w:t>
      </w:r>
      <w:proofErr w:type="gramStart"/>
      <w:r>
        <w:t>particular supplier</w:t>
      </w:r>
      <w:proofErr w:type="gramEnd"/>
      <w:r>
        <w:t>, as one supplier only takes a share of about 1% of an agency’s total procurements.</w:t>
      </w:r>
    </w:p>
    <w:p w14:paraId="3340137B" w14:textId="77777777" w:rsidR="00E0440B" w:rsidRDefault="0087698D">
      <w:pPr>
        <w:pStyle w:val="BodyText"/>
      </w:pPr>
      <w:r>
        <w:t xml:space="preserve">However, there is one data point that is above 30%, which we shall further </w:t>
      </w:r>
      <w:proofErr w:type="spellStart"/>
      <w:r>
        <w:t>scrutinise</w:t>
      </w:r>
      <w:proofErr w:type="spellEnd"/>
      <w:r>
        <w:t>.</w:t>
      </w:r>
    </w:p>
    <w:tbl>
      <w:tblPr>
        <w:tblStyle w:val="TableGrid"/>
        <w:tblW w:w="10915" w:type="dxa"/>
        <w:tblInd w:w="-601" w:type="dxa"/>
        <w:tblLook w:val="04A0" w:firstRow="1" w:lastRow="0" w:firstColumn="1" w:lastColumn="0" w:noHBand="0" w:noVBand="1"/>
      </w:tblPr>
      <w:tblGrid>
        <w:gridCol w:w="567"/>
        <w:gridCol w:w="4579"/>
        <w:gridCol w:w="2432"/>
        <w:gridCol w:w="1920"/>
        <w:gridCol w:w="1417"/>
      </w:tblGrid>
      <w:tr w:rsidR="005B45F8" w14:paraId="567107D4" w14:textId="77777777" w:rsidTr="005B45F8">
        <w:trPr>
          <w:trHeight w:val="546"/>
        </w:trPr>
        <w:tc>
          <w:tcPr>
            <w:tcW w:w="567" w:type="dxa"/>
          </w:tcPr>
          <w:p w14:paraId="6B55E596" w14:textId="77777777" w:rsidR="004B3C81" w:rsidRDefault="004B3C81" w:rsidP="004C5E17">
            <w:pPr>
              <w:pStyle w:val="BodyText"/>
            </w:pPr>
            <w:r>
              <w:rPr>
                <w:rStyle w:val="VerbatimChar"/>
              </w:rPr>
              <w:t xml:space="preserve">SN        </w:t>
            </w:r>
          </w:p>
        </w:tc>
        <w:tc>
          <w:tcPr>
            <w:tcW w:w="4579" w:type="dxa"/>
          </w:tcPr>
          <w:p w14:paraId="595599C9" w14:textId="5B78F8A7" w:rsidR="004B3C81" w:rsidRDefault="004B3C81" w:rsidP="004C5E17">
            <w:pPr>
              <w:pStyle w:val="BodyText"/>
            </w:pPr>
            <w:r>
              <w:t>Agency</w:t>
            </w:r>
          </w:p>
        </w:tc>
        <w:tc>
          <w:tcPr>
            <w:tcW w:w="2432" w:type="dxa"/>
          </w:tcPr>
          <w:p w14:paraId="43F99C3F" w14:textId="56A339B4" w:rsidR="004B3C81" w:rsidRDefault="004B3C81" w:rsidP="004C5E17">
            <w:pPr>
              <w:pStyle w:val="BodyText"/>
            </w:pPr>
            <w:r>
              <w:t>Supplier</w:t>
            </w:r>
          </w:p>
        </w:tc>
        <w:tc>
          <w:tcPr>
            <w:tcW w:w="1920" w:type="dxa"/>
          </w:tcPr>
          <w:p w14:paraId="59EBE9C3" w14:textId="77777777" w:rsidR="004B3C81" w:rsidRDefault="004B3C81" w:rsidP="004C5E17">
            <w:pPr>
              <w:pStyle w:val="BodyText"/>
            </w:pPr>
            <w:r>
              <w:t>Frequency</w:t>
            </w:r>
          </w:p>
        </w:tc>
        <w:tc>
          <w:tcPr>
            <w:tcW w:w="1417" w:type="dxa"/>
          </w:tcPr>
          <w:p w14:paraId="4A73C59D" w14:textId="77777777" w:rsidR="004B3C81" w:rsidRDefault="004B3C81" w:rsidP="004C5E17">
            <w:pPr>
              <w:pStyle w:val="BodyText"/>
            </w:pPr>
            <w:r>
              <w:t>Percentage</w:t>
            </w:r>
          </w:p>
        </w:tc>
      </w:tr>
      <w:tr w:rsidR="005B45F8" w:rsidRPr="00E701D3" w14:paraId="69809460" w14:textId="77777777" w:rsidTr="005B45F8">
        <w:trPr>
          <w:trHeight w:val="300"/>
        </w:trPr>
        <w:tc>
          <w:tcPr>
            <w:tcW w:w="567" w:type="dxa"/>
          </w:tcPr>
          <w:p w14:paraId="49462A27" w14:textId="27EB9EEB" w:rsidR="004B3C81" w:rsidRPr="004B3C81" w:rsidRDefault="004B3C81" w:rsidP="004C5E17">
            <w:pPr>
              <w:pStyle w:val="BodyText"/>
              <w:rPr>
                <w:rFonts w:ascii="Consolas" w:hAnsi="Consolas"/>
                <w:sz w:val="18"/>
                <w:szCs w:val="18"/>
              </w:rPr>
            </w:pPr>
            <w:r w:rsidRPr="004B3C81">
              <w:rPr>
                <w:rFonts w:ascii="Consolas" w:hAnsi="Consolas"/>
                <w:sz w:val="18"/>
                <w:szCs w:val="18"/>
              </w:rPr>
              <w:t>9</w:t>
            </w:r>
            <w:r w:rsidRPr="004B3C81">
              <w:rPr>
                <w:rFonts w:ascii="Consolas" w:hAnsi="Consolas"/>
                <w:sz w:val="18"/>
                <w:szCs w:val="18"/>
              </w:rPr>
              <w:t>59</w:t>
            </w:r>
          </w:p>
        </w:tc>
        <w:tc>
          <w:tcPr>
            <w:tcW w:w="4579" w:type="dxa"/>
          </w:tcPr>
          <w:p w14:paraId="23CC07B7" w14:textId="62FEE863" w:rsidR="004B3C81" w:rsidRPr="004B3C81" w:rsidRDefault="004B3C81" w:rsidP="004C5E17">
            <w:pPr>
              <w:pStyle w:val="BodyText"/>
              <w:rPr>
                <w:rFonts w:ascii="Consolas" w:hAnsi="Consolas"/>
                <w:sz w:val="18"/>
                <w:szCs w:val="18"/>
              </w:rPr>
            </w:pPr>
            <w:r w:rsidRPr="004B3C81">
              <w:rPr>
                <w:rStyle w:val="VerbatimChar"/>
                <w:sz w:val="18"/>
                <w:szCs w:val="18"/>
              </w:rPr>
              <w:t>National Commission for Space Exploration</w:t>
            </w:r>
          </w:p>
        </w:tc>
        <w:tc>
          <w:tcPr>
            <w:tcW w:w="2432" w:type="dxa"/>
          </w:tcPr>
          <w:p w14:paraId="6550C062" w14:textId="06944E9E" w:rsidR="004B3C81" w:rsidRPr="004B3C81" w:rsidRDefault="004B3C81" w:rsidP="004C5E17">
            <w:pPr>
              <w:pStyle w:val="BodyText"/>
              <w:rPr>
                <w:rFonts w:ascii="Consolas" w:hAnsi="Consolas"/>
                <w:sz w:val="18"/>
                <w:szCs w:val="18"/>
              </w:rPr>
            </w:pPr>
            <w:proofErr w:type="spellStart"/>
            <w:r w:rsidRPr="004B3C81">
              <w:rPr>
                <w:rStyle w:val="VerbatimChar"/>
                <w:sz w:val="18"/>
                <w:szCs w:val="18"/>
              </w:rPr>
              <w:t>SecureSpace</w:t>
            </w:r>
            <w:proofErr w:type="spellEnd"/>
            <w:r w:rsidRPr="004B3C81">
              <w:rPr>
                <w:rStyle w:val="VerbatimChar"/>
                <w:sz w:val="18"/>
                <w:szCs w:val="18"/>
              </w:rPr>
              <w:t xml:space="preserve"> Management  </w:t>
            </w:r>
          </w:p>
        </w:tc>
        <w:tc>
          <w:tcPr>
            <w:tcW w:w="1920" w:type="dxa"/>
          </w:tcPr>
          <w:p w14:paraId="65F165B0" w14:textId="6F28C49B" w:rsidR="004B3C81" w:rsidRPr="004B3C81" w:rsidRDefault="004B3C81" w:rsidP="004C5E17">
            <w:pPr>
              <w:pStyle w:val="BodyText"/>
              <w:rPr>
                <w:rFonts w:ascii="Consolas" w:hAnsi="Consolas"/>
                <w:sz w:val="18"/>
                <w:szCs w:val="18"/>
              </w:rPr>
            </w:pPr>
            <w:r w:rsidRPr="004B3C81">
              <w:rPr>
                <w:rFonts w:ascii="Consolas" w:hAnsi="Consolas"/>
                <w:sz w:val="18"/>
                <w:szCs w:val="18"/>
              </w:rPr>
              <w:t>1</w:t>
            </w:r>
            <w:r w:rsidRPr="004B3C81">
              <w:rPr>
                <w:rFonts w:ascii="Consolas" w:hAnsi="Consolas"/>
                <w:sz w:val="18"/>
                <w:szCs w:val="18"/>
              </w:rPr>
              <w:t>77</w:t>
            </w:r>
          </w:p>
        </w:tc>
        <w:tc>
          <w:tcPr>
            <w:tcW w:w="1417" w:type="dxa"/>
          </w:tcPr>
          <w:p w14:paraId="78D6F4F7" w14:textId="0DE2C800" w:rsidR="004B3C81" w:rsidRPr="004B3C81" w:rsidRDefault="004B3C81" w:rsidP="004C5E17">
            <w:pPr>
              <w:pStyle w:val="BodyText"/>
              <w:rPr>
                <w:rFonts w:ascii="Consolas" w:hAnsi="Consolas"/>
                <w:sz w:val="18"/>
                <w:szCs w:val="18"/>
              </w:rPr>
            </w:pPr>
            <w:r w:rsidRPr="004B3C81">
              <w:rPr>
                <w:rStyle w:val="VerbatimChar"/>
                <w:sz w:val="18"/>
                <w:szCs w:val="18"/>
              </w:rPr>
              <w:t>31.89189</w:t>
            </w:r>
          </w:p>
        </w:tc>
      </w:tr>
    </w:tbl>
    <w:p w14:paraId="3340137D" w14:textId="77777777" w:rsidR="00E0440B" w:rsidRDefault="0087698D">
      <w:pPr>
        <w:pStyle w:val="FirstParagraph"/>
      </w:pPr>
      <w:r>
        <w:t>The data point in question belongs to the National Commission for Space Exploration, and the supplier in question is SecureSpace Management.</w:t>
      </w:r>
    </w:p>
    <w:p w14:paraId="0F542171" w14:textId="2C4162CA" w:rsidR="00EA46F2" w:rsidRDefault="0087698D" w:rsidP="005B45F8">
      <w:pPr>
        <w:pStyle w:val="BodyText"/>
      </w:pPr>
      <w:r>
        <w:t xml:space="preserve">We shall now </w:t>
      </w:r>
      <w:proofErr w:type="gramStart"/>
      <w:r>
        <w:t>look into</w:t>
      </w:r>
      <w:proofErr w:type="gramEnd"/>
      <w:r>
        <w:t xml:space="preserve"> how many different suppliers the National Commission for Space Exploration engages to check for any overreliance on their suppliers.</w:t>
      </w:r>
    </w:p>
    <w:tbl>
      <w:tblPr>
        <w:tblStyle w:val="TableGrid"/>
        <w:tblW w:w="10706" w:type="dxa"/>
        <w:tblInd w:w="-601" w:type="dxa"/>
        <w:tblLayout w:type="fixed"/>
        <w:tblLook w:val="04A0" w:firstRow="1" w:lastRow="0" w:firstColumn="1" w:lastColumn="0" w:noHBand="0" w:noVBand="1"/>
      </w:tblPr>
      <w:tblGrid>
        <w:gridCol w:w="567"/>
        <w:gridCol w:w="4395"/>
        <w:gridCol w:w="3429"/>
        <w:gridCol w:w="1107"/>
        <w:gridCol w:w="1208"/>
      </w:tblGrid>
      <w:tr w:rsidR="00DF35E3" w:rsidRPr="00F44B22" w14:paraId="0153CF42" w14:textId="77777777" w:rsidTr="00433D9F">
        <w:trPr>
          <w:trHeight w:val="647"/>
        </w:trPr>
        <w:tc>
          <w:tcPr>
            <w:tcW w:w="567" w:type="dxa"/>
          </w:tcPr>
          <w:p w14:paraId="05CACF96" w14:textId="77777777" w:rsidR="00CF7491" w:rsidRPr="00F44B22" w:rsidRDefault="00CF7491" w:rsidP="004C5E17">
            <w:pPr>
              <w:pStyle w:val="BodyText"/>
              <w:rPr>
                <w:rFonts w:ascii="Consolas" w:hAnsi="Consolas"/>
                <w:sz w:val="18"/>
                <w:szCs w:val="18"/>
              </w:rPr>
            </w:pPr>
            <w:r w:rsidRPr="00F44B22">
              <w:rPr>
                <w:rStyle w:val="VerbatimChar"/>
                <w:sz w:val="18"/>
                <w:szCs w:val="18"/>
              </w:rPr>
              <w:t xml:space="preserve">SN        </w:t>
            </w:r>
          </w:p>
        </w:tc>
        <w:tc>
          <w:tcPr>
            <w:tcW w:w="4395" w:type="dxa"/>
          </w:tcPr>
          <w:p w14:paraId="508A5E58" w14:textId="77777777" w:rsidR="00CF7491" w:rsidRPr="00F44B22" w:rsidRDefault="00CF7491" w:rsidP="004C5E17">
            <w:pPr>
              <w:pStyle w:val="BodyText"/>
              <w:rPr>
                <w:rFonts w:ascii="Consolas" w:hAnsi="Consolas"/>
                <w:sz w:val="18"/>
                <w:szCs w:val="18"/>
              </w:rPr>
            </w:pPr>
            <w:r w:rsidRPr="00F44B22">
              <w:rPr>
                <w:rFonts w:ascii="Consolas" w:hAnsi="Consolas"/>
                <w:sz w:val="18"/>
                <w:szCs w:val="18"/>
              </w:rPr>
              <w:t>Supplier</w:t>
            </w:r>
          </w:p>
        </w:tc>
        <w:tc>
          <w:tcPr>
            <w:tcW w:w="3429" w:type="dxa"/>
          </w:tcPr>
          <w:p w14:paraId="6752404A" w14:textId="795B5CC8" w:rsidR="00CF7491" w:rsidRPr="00F44B22" w:rsidRDefault="00DF35E3" w:rsidP="004C5E17">
            <w:pPr>
              <w:pStyle w:val="BodyText"/>
              <w:rPr>
                <w:rFonts w:ascii="Consolas" w:hAnsi="Consolas"/>
                <w:sz w:val="18"/>
                <w:szCs w:val="18"/>
              </w:rPr>
            </w:pPr>
            <w:r>
              <w:rPr>
                <w:rFonts w:ascii="Consolas" w:hAnsi="Consolas"/>
                <w:sz w:val="18"/>
                <w:szCs w:val="18"/>
              </w:rPr>
              <w:t>Supplier</w:t>
            </w:r>
          </w:p>
        </w:tc>
        <w:tc>
          <w:tcPr>
            <w:tcW w:w="1107" w:type="dxa"/>
          </w:tcPr>
          <w:p w14:paraId="59794D6B" w14:textId="77777777" w:rsidR="00CF7491" w:rsidRPr="00F44B22" w:rsidRDefault="00CF7491" w:rsidP="004C5E17">
            <w:pPr>
              <w:pStyle w:val="BodyText"/>
              <w:rPr>
                <w:rFonts w:ascii="Consolas" w:hAnsi="Consolas"/>
                <w:sz w:val="18"/>
                <w:szCs w:val="18"/>
              </w:rPr>
            </w:pPr>
            <w:r w:rsidRPr="00F44B22">
              <w:rPr>
                <w:rFonts w:ascii="Consolas" w:hAnsi="Consolas"/>
                <w:sz w:val="18"/>
                <w:szCs w:val="18"/>
              </w:rPr>
              <w:t>Frequency</w:t>
            </w:r>
          </w:p>
        </w:tc>
        <w:tc>
          <w:tcPr>
            <w:tcW w:w="1208" w:type="dxa"/>
          </w:tcPr>
          <w:p w14:paraId="1D9BE959" w14:textId="77777777" w:rsidR="00CF7491" w:rsidRPr="00F44B22" w:rsidRDefault="00CF7491" w:rsidP="004C5E17">
            <w:pPr>
              <w:pStyle w:val="BodyText"/>
              <w:rPr>
                <w:rFonts w:ascii="Consolas" w:hAnsi="Consolas"/>
                <w:sz w:val="18"/>
                <w:szCs w:val="18"/>
              </w:rPr>
            </w:pPr>
            <w:r w:rsidRPr="00F44B22">
              <w:rPr>
                <w:rFonts w:ascii="Consolas" w:hAnsi="Consolas"/>
                <w:sz w:val="18"/>
                <w:szCs w:val="18"/>
              </w:rPr>
              <w:t>Percentage</w:t>
            </w:r>
          </w:p>
        </w:tc>
      </w:tr>
      <w:tr w:rsidR="00DF35E3" w:rsidRPr="00F44B22" w14:paraId="78ED6480" w14:textId="77777777" w:rsidTr="00433D9F">
        <w:trPr>
          <w:trHeight w:val="533"/>
        </w:trPr>
        <w:tc>
          <w:tcPr>
            <w:tcW w:w="567" w:type="dxa"/>
          </w:tcPr>
          <w:p w14:paraId="0742B4E0" w14:textId="77777777" w:rsidR="00DF35E3" w:rsidRPr="00DF35E3" w:rsidRDefault="00DF35E3" w:rsidP="00DF35E3">
            <w:pPr>
              <w:pStyle w:val="BodyText"/>
              <w:rPr>
                <w:rFonts w:ascii="Consolas" w:hAnsi="Consolas"/>
                <w:sz w:val="18"/>
                <w:szCs w:val="18"/>
              </w:rPr>
            </w:pPr>
            <w:r w:rsidRPr="00DF35E3">
              <w:rPr>
                <w:rFonts w:ascii="Consolas" w:hAnsi="Consolas"/>
                <w:sz w:val="18"/>
                <w:szCs w:val="18"/>
              </w:rPr>
              <w:lastRenderedPageBreak/>
              <w:t>1</w:t>
            </w:r>
          </w:p>
        </w:tc>
        <w:tc>
          <w:tcPr>
            <w:tcW w:w="4395" w:type="dxa"/>
          </w:tcPr>
          <w:p w14:paraId="2521BB10" w14:textId="2A4B4D53" w:rsidR="00DF35E3" w:rsidRPr="00DF35E3" w:rsidRDefault="00DF35E3" w:rsidP="00DF35E3">
            <w:pPr>
              <w:pStyle w:val="BodyText"/>
              <w:rPr>
                <w:rFonts w:ascii="Consolas" w:hAnsi="Consolas"/>
                <w:sz w:val="18"/>
                <w:szCs w:val="18"/>
              </w:rPr>
            </w:pPr>
            <w:r w:rsidRPr="00DF35E3">
              <w:rPr>
                <w:rStyle w:val="VerbatimChar"/>
                <w:sz w:val="18"/>
                <w:szCs w:val="18"/>
              </w:rPr>
              <w:t>National Commission for Space Exploration</w:t>
            </w:r>
          </w:p>
        </w:tc>
        <w:tc>
          <w:tcPr>
            <w:tcW w:w="3429" w:type="dxa"/>
          </w:tcPr>
          <w:p w14:paraId="1A1210F2" w14:textId="3A211729" w:rsidR="00DF35E3" w:rsidRPr="00DF35E3" w:rsidRDefault="00DF35E3" w:rsidP="00DF35E3">
            <w:pPr>
              <w:pStyle w:val="BodyText"/>
              <w:rPr>
                <w:rFonts w:ascii="Consolas" w:hAnsi="Consolas"/>
                <w:sz w:val="18"/>
                <w:szCs w:val="18"/>
              </w:rPr>
            </w:pPr>
            <w:proofErr w:type="spellStart"/>
            <w:r w:rsidRPr="00DF35E3">
              <w:rPr>
                <w:rStyle w:val="VerbatimChar"/>
                <w:sz w:val="18"/>
                <w:szCs w:val="18"/>
              </w:rPr>
              <w:t>SecureSpace</w:t>
            </w:r>
            <w:proofErr w:type="spellEnd"/>
            <w:r w:rsidRPr="00DF35E3">
              <w:rPr>
                <w:rStyle w:val="VerbatimChar"/>
                <w:sz w:val="18"/>
                <w:szCs w:val="18"/>
              </w:rPr>
              <w:t xml:space="preserve"> Management</w:t>
            </w:r>
          </w:p>
        </w:tc>
        <w:tc>
          <w:tcPr>
            <w:tcW w:w="1107" w:type="dxa"/>
          </w:tcPr>
          <w:p w14:paraId="4220D19E" w14:textId="52839521" w:rsidR="00DF35E3" w:rsidRPr="00DF35E3" w:rsidRDefault="00DF35E3" w:rsidP="00DF35E3">
            <w:pPr>
              <w:pStyle w:val="BodyText"/>
              <w:rPr>
                <w:rFonts w:ascii="Consolas" w:hAnsi="Consolas"/>
                <w:sz w:val="18"/>
                <w:szCs w:val="18"/>
              </w:rPr>
            </w:pPr>
            <w:r w:rsidRPr="00DF35E3">
              <w:rPr>
                <w:rFonts w:ascii="Consolas" w:hAnsi="Consolas"/>
                <w:sz w:val="18"/>
                <w:szCs w:val="18"/>
              </w:rPr>
              <w:t>1</w:t>
            </w:r>
            <w:r w:rsidRPr="00DF35E3">
              <w:rPr>
                <w:rFonts w:ascii="Consolas" w:hAnsi="Consolas"/>
                <w:sz w:val="18"/>
                <w:szCs w:val="18"/>
              </w:rPr>
              <w:t>77</w:t>
            </w:r>
          </w:p>
        </w:tc>
        <w:tc>
          <w:tcPr>
            <w:tcW w:w="1208" w:type="dxa"/>
          </w:tcPr>
          <w:p w14:paraId="0016775A" w14:textId="31512C5E" w:rsidR="00DF35E3" w:rsidRPr="00DF35E3" w:rsidRDefault="00DF35E3" w:rsidP="00DF35E3">
            <w:pPr>
              <w:pStyle w:val="BodyText"/>
              <w:rPr>
                <w:rFonts w:ascii="Consolas" w:hAnsi="Consolas"/>
                <w:sz w:val="18"/>
                <w:szCs w:val="18"/>
              </w:rPr>
            </w:pPr>
            <w:r w:rsidRPr="00DF35E3">
              <w:rPr>
                <w:rStyle w:val="VerbatimChar"/>
                <w:sz w:val="18"/>
                <w:szCs w:val="18"/>
              </w:rPr>
              <w:t>31.8918919</w:t>
            </w:r>
          </w:p>
        </w:tc>
      </w:tr>
      <w:tr w:rsidR="00DF35E3" w:rsidRPr="00F44B22" w14:paraId="12B84633" w14:textId="77777777" w:rsidTr="00433D9F">
        <w:trPr>
          <w:trHeight w:val="670"/>
        </w:trPr>
        <w:tc>
          <w:tcPr>
            <w:tcW w:w="567" w:type="dxa"/>
          </w:tcPr>
          <w:p w14:paraId="4635742B" w14:textId="77777777" w:rsidR="00DF35E3" w:rsidRPr="00DF35E3" w:rsidRDefault="00DF35E3" w:rsidP="00DF35E3">
            <w:pPr>
              <w:pStyle w:val="BodyText"/>
              <w:rPr>
                <w:rFonts w:ascii="Consolas" w:hAnsi="Consolas"/>
                <w:sz w:val="18"/>
                <w:szCs w:val="18"/>
              </w:rPr>
            </w:pPr>
            <w:r w:rsidRPr="00DF35E3">
              <w:rPr>
                <w:rFonts w:ascii="Consolas" w:hAnsi="Consolas"/>
                <w:sz w:val="18"/>
                <w:szCs w:val="18"/>
              </w:rPr>
              <w:t>2</w:t>
            </w:r>
          </w:p>
        </w:tc>
        <w:tc>
          <w:tcPr>
            <w:tcW w:w="4395" w:type="dxa"/>
          </w:tcPr>
          <w:p w14:paraId="0BB66BDE" w14:textId="71371E37" w:rsidR="00DF35E3" w:rsidRPr="00DF35E3" w:rsidRDefault="00DF35E3" w:rsidP="00DF35E3">
            <w:pPr>
              <w:pStyle w:val="BodyText"/>
              <w:rPr>
                <w:rStyle w:val="VerbatimChar"/>
                <w:sz w:val="18"/>
                <w:szCs w:val="18"/>
              </w:rPr>
            </w:pPr>
            <w:r w:rsidRPr="00DF35E3">
              <w:rPr>
                <w:rStyle w:val="VerbatimChar"/>
                <w:sz w:val="18"/>
                <w:szCs w:val="18"/>
              </w:rPr>
              <w:t>National Commission for Space Exploration</w:t>
            </w:r>
          </w:p>
        </w:tc>
        <w:tc>
          <w:tcPr>
            <w:tcW w:w="3429" w:type="dxa"/>
          </w:tcPr>
          <w:p w14:paraId="7054D9BE" w14:textId="389A5F52" w:rsidR="00DF35E3" w:rsidRPr="00DF35E3" w:rsidRDefault="00DF35E3" w:rsidP="00DF35E3">
            <w:pPr>
              <w:pStyle w:val="BodyText"/>
              <w:rPr>
                <w:rStyle w:val="VerbatimChar"/>
                <w:sz w:val="18"/>
                <w:szCs w:val="18"/>
              </w:rPr>
            </w:pPr>
            <w:proofErr w:type="spellStart"/>
            <w:r w:rsidRPr="00DF35E3">
              <w:rPr>
                <w:rStyle w:val="VerbatimChar"/>
                <w:sz w:val="18"/>
                <w:szCs w:val="18"/>
              </w:rPr>
              <w:t>InfiniteGuard</w:t>
            </w:r>
            <w:proofErr w:type="spellEnd"/>
            <w:r w:rsidRPr="00DF35E3">
              <w:rPr>
                <w:rStyle w:val="VerbatimChar"/>
                <w:sz w:val="18"/>
                <w:szCs w:val="18"/>
              </w:rPr>
              <w:t xml:space="preserve"> Building</w:t>
            </w:r>
            <w:r w:rsidRPr="00DF35E3">
              <w:rPr>
                <w:rStyle w:val="VerbatimChar"/>
                <w:sz w:val="18"/>
                <w:szCs w:val="18"/>
              </w:rPr>
              <w:t xml:space="preserve"> Care</w:t>
            </w:r>
          </w:p>
        </w:tc>
        <w:tc>
          <w:tcPr>
            <w:tcW w:w="1107" w:type="dxa"/>
          </w:tcPr>
          <w:p w14:paraId="023253C6" w14:textId="06F5FCE2" w:rsidR="00DF35E3" w:rsidRPr="00DF35E3" w:rsidRDefault="00DF35E3" w:rsidP="00DF35E3">
            <w:pPr>
              <w:pStyle w:val="BodyText"/>
              <w:rPr>
                <w:rFonts w:ascii="Consolas" w:hAnsi="Consolas"/>
                <w:sz w:val="18"/>
                <w:szCs w:val="18"/>
              </w:rPr>
            </w:pPr>
            <w:r w:rsidRPr="00DF35E3">
              <w:rPr>
                <w:rFonts w:ascii="Consolas" w:hAnsi="Consolas"/>
                <w:sz w:val="18"/>
                <w:szCs w:val="18"/>
              </w:rPr>
              <w:t>1</w:t>
            </w:r>
            <w:r w:rsidRPr="00DF35E3">
              <w:rPr>
                <w:rFonts w:ascii="Consolas" w:hAnsi="Consolas"/>
                <w:sz w:val="18"/>
                <w:szCs w:val="18"/>
              </w:rPr>
              <w:t>5</w:t>
            </w:r>
          </w:p>
        </w:tc>
        <w:tc>
          <w:tcPr>
            <w:tcW w:w="1208" w:type="dxa"/>
          </w:tcPr>
          <w:p w14:paraId="5FC48F3F" w14:textId="37630AF9" w:rsidR="00DF35E3" w:rsidRPr="00DF35E3" w:rsidRDefault="00DF35E3" w:rsidP="00DF35E3">
            <w:pPr>
              <w:pStyle w:val="BodyText"/>
              <w:rPr>
                <w:rStyle w:val="VerbatimChar"/>
                <w:sz w:val="18"/>
                <w:szCs w:val="18"/>
              </w:rPr>
            </w:pPr>
            <w:r w:rsidRPr="00DF35E3">
              <w:rPr>
                <w:rStyle w:val="VerbatimChar"/>
                <w:sz w:val="18"/>
                <w:szCs w:val="18"/>
              </w:rPr>
              <w:t>2.7027027</w:t>
            </w:r>
          </w:p>
        </w:tc>
      </w:tr>
      <w:tr w:rsidR="00DF35E3" w:rsidRPr="00F44B22" w14:paraId="22681D17" w14:textId="77777777" w:rsidTr="00433D9F">
        <w:trPr>
          <w:trHeight w:val="670"/>
        </w:trPr>
        <w:tc>
          <w:tcPr>
            <w:tcW w:w="567" w:type="dxa"/>
          </w:tcPr>
          <w:p w14:paraId="4269C2A2" w14:textId="77777777" w:rsidR="00DF35E3" w:rsidRPr="00DF35E3" w:rsidRDefault="00DF35E3" w:rsidP="00DF35E3">
            <w:pPr>
              <w:pStyle w:val="BodyText"/>
              <w:rPr>
                <w:rFonts w:ascii="Consolas" w:hAnsi="Consolas"/>
                <w:sz w:val="18"/>
                <w:szCs w:val="18"/>
              </w:rPr>
            </w:pPr>
            <w:r w:rsidRPr="00DF35E3">
              <w:rPr>
                <w:rFonts w:ascii="Consolas" w:hAnsi="Consolas"/>
                <w:sz w:val="18"/>
                <w:szCs w:val="18"/>
              </w:rPr>
              <w:t>3</w:t>
            </w:r>
          </w:p>
        </w:tc>
        <w:tc>
          <w:tcPr>
            <w:tcW w:w="4395" w:type="dxa"/>
          </w:tcPr>
          <w:p w14:paraId="6E5C8BDA" w14:textId="0D49F4D5" w:rsidR="00DF35E3" w:rsidRPr="00DF35E3" w:rsidRDefault="00DF35E3" w:rsidP="00DF35E3">
            <w:pPr>
              <w:pStyle w:val="BodyText"/>
              <w:rPr>
                <w:rStyle w:val="VerbatimChar"/>
                <w:sz w:val="18"/>
                <w:szCs w:val="18"/>
              </w:rPr>
            </w:pPr>
            <w:r w:rsidRPr="00DF35E3">
              <w:rPr>
                <w:rStyle w:val="VerbatimChar"/>
                <w:sz w:val="18"/>
                <w:szCs w:val="18"/>
              </w:rPr>
              <w:t>National Commission for Space Exploration</w:t>
            </w:r>
          </w:p>
        </w:tc>
        <w:tc>
          <w:tcPr>
            <w:tcW w:w="3429" w:type="dxa"/>
          </w:tcPr>
          <w:p w14:paraId="6F6E2394" w14:textId="09836CEE" w:rsidR="00DF35E3" w:rsidRPr="00DF35E3" w:rsidRDefault="00DF35E3" w:rsidP="00DF35E3">
            <w:pPr>
              <w:pStyle w:val="BodyText"/>
              <w:rPr>
                <w:rStyle w:val="VerbatimChar"/>
                <w:sz w:val="18"/>
                <w:szCs w:val="18"/>
              </w:rPr>
            </w:pPr>
            <w:proofErr w:type="spellStart"/>
            <w:r w:rsidRPr="00DF35E3">
              <w:rPr>
                <w:rStyle w:val="VerbatimChar"/>
                <w:sz w:val="18"/>
                <w:szCs w:val="18"/>
              </w:rPr>
              <w:t>InfiniteSpace</w:t>
            </w:r>
            <w:proofErr w:type="spellEnd"/>
            <w:r w:rsidRPr="00DF35E3">
              <w:rPr>
                <w:rStyle w:val="VerbatimChar"/>
                <w:sz w:val="18"/>
                <w:szCs w:val="18"/>
              </w:rPr>
              <w:t xml:space="preserve"> Building</w:t>
            </w:r>
            <w:r w:rsidRPr="00DF35E3">
              <w:rPr>
                <w:rStyle w:val="VerbatimChar"/>
                <w:sz w:val="18"/>
                <w:szCs w:val="18"/>
              </w:rPr>
              <w:t xml:space="preserve"> Solutions</w:t>
            </w:r>
          </w:p>
        </w:tc>
        <w:tc>
          <w:tcPr>
            <w:tcW w:w="1107" w:type="dxa"/>
          </w:tcPr>
          <w:p w14:paraId="6F57C87E" w14:textId="25F3272C" w:rsidR="00DF35E3" w:rsidRPr="00DF35E3" w:rsidRDefault="00DF35E3" w:rsidP="00DF35E3">
            <w:pPr>
              <w:pStyle w:val="BodyText"/>
              <w:rPr>
                <w:rFonts w:ascii="Consolas" w:hAnsi="Consolas"/>
                <w:sz w:val="18"/>
                <w:szCs w:val="18"/>
              </w:rPr>
            </w:pPr>
            <w:r w:rsidRPr="00DF35E3">
              <w:rPr>
                <w:rFonts w:ascii="Consolas" w:hAnsi="Consolas"/>
                <w:sz w:val="18"/>
                <w:szCs w:val="18"/>
              </w:rPr>
              <w:t>1</w:t>
            </w:r>
            <w:r w:rsidRPr="00DF35E3">
              <w:rPr>
                <w:rFonts w:ascii="Consolas" w:hAnsi="Consolas"/>
                <w:sz w:val="18"/>
                <w:szCs w:val="18"/>
              </w:rPr>
              <w:t>5</w:t>
            </w:r>
          </w:p>
        </w:tc>
        <w:tc>
          <w:tcPr>
            <w:tcW w:w="1208" w:type="dxa"/>
          </w:tcPr>
          <w:p w14:paraId="15B380FD" w14:textId="7DD246E0" w:rsidR="00DF35E3" w:rsidRPr="00DF35E3" w:rsidRDefault="00DF35E3" w:rsidP="00DF35E3">
            <w:pPr>
              <w:pStyle w:val="BodyText"/>
              <w:rPr>
                <w:rStyle w:val="VerbatimChar"/>
                <w:sz w:val="18"/>
                <w:szCs w:val="18"/>
              </w:rPr>
            </w:pPr>
            <w:r w:rsidRPr="00DF35E3">
              <w:rPr>
                <w:rStyle w:val="VerbatimChar"/>
                <w:sz w:val="18"/>
                <w:szCs w:val="18"/>
              </w:rPr>
              <w:t>2.7027027</w:t>
            </w:r>
          </w:p>
        </w:tc>
      </w:tr>
      <w:tr w:rsidR="00DF35E3" w:rsidRPr="00F44B22" w14:paraId="5BFA564B" w14:textId="77777777" w:rsidTr="00433D9F">
        <w:trPr>
          <w:trHeight w:val="670"/>
        </w:trPr>
        <w:tc>
          <w:tcPr>
            <w:tcW w:w="567" w:type="dxa"/>
          </w:tcPr>
          <w:p w14:paraId="0F30B128" w14:textId="1A1C7D2C" w:rsidR="00DF35E3" w:rsidRPr="00DF35E3" w:rsidRDefault="00DF35E3" w:rsidP="00DF35E3">
            <w:pPr>
              <w:pStyle w:val="BodyText"/>
              <w:rPr>
                <w:rFonts w:ascii="Consolas" w:hAnsi="Consolas"/>
                <w:sz w:val="18"/>
                <w:szCs w:val="18"/>
              </w:rPr>
            </w:pPr>
            <w:r w:rsidRPr="00DF35E3">
              <w:rPr>
                <w:rFonts w:ascii="Consolas" w:hAnsi="Consolas"/>
                <w:sz w:val="18"/>
                <w:szCs w:val="18"/>
              </w:rPr>
              <w:t>89</w:t>
            </w:r>
          </w:p>
        </w:tc>
        <w:tc>
          <w:tcPr>
            <w:tcW w:w="4395" w:type="dxa"/>
          </w:tcPr>
          <w:p w14:paraId="5A090F0A" w14:textId="2DCF3FF3" w:rsidR="00DF35E3" w:rsidRPr="00DF35E3" w:rsidRDefault="00DF35E3" w:rsidP="00DF35E3">
            <w:pPr>
              <w:pStyle w:val="BodyText"/>
              <w:rPr>
                <w:rStyle w:val="VerbatimChar"/>
                <w:sz w:val="18"/>
                <w:szCs w:val="18"/>
              </w:rPr>
            </w:pPr>
            <w:r w:rsidRPr="00DF35E3">
              <w:rPr>
                <w:rStyle w:val="VerbatimChar"/>
                <w:sz w:val="18"/>
                <w:szCs w:val="18"/>
              </w:rPr>
              <w:t>National Commission for Space Exploration</w:t>
            </w:r>
          </w:p>
        </w:tc>
        <w:tc>
          <w:tcPr>
            <w:tcW w:w="3429" w:type="dxa"/>
          </w:tcPr>
          <w:p w14:paraId="2892E5B9" w14:textId="59570B13" w:rsidR="00DF35E3" w:rsidRPr="00DF35E3" w:rsidRDefault="00DF35E3" w:rsidP="00DF35E3">
            <w:pPr>
              <w:pStyle w:val="BodyText"/>
              <w:rPr>
                <w:rStyle w:val="VerbatimChar"/>
                <w:sz w:val="18"/>
                <w:szCs w:val="18"/>
              </w:rPr>
            </w:pPr>
            <w:proofErr w:type="spellStart"/>
            <w:r w:rsidRPr="00DF35E3">
              <w:rPr>
                <w:rStyle w:val="VerbatimChar"/>
                <w:sz w:val="18"/>
                <w:szCs w:val="18"/>
              </w:rPr>
              <w:t>SecureTech</w:t>
            </w:r>
            <w:proofErr w:type="spellEnd"/>
            <w:r w:rsidRPr="00DF35E3">
              <w:rPr>
                <w:rStyle w:val="VerbatimChar"/>
                <w:sz w:val="18"/>
                <w:szCs w:val="18"/>
              </w:rPr>
              <w:t xml:space="preserve"> Building Solutions</w:t>
            </w:r>
          </w:p>
        </w:tc>
        <w:tc>
          <w:tcPr>
            <w:tcW w:w="1107" w:type="dxa"/>
          </w:tcPr>
          <w:p w14:paraId="2683C40C" w14:textId="77777777" w:rsidR="00DF35E3" w:rsidRPr="00DF35E3" w:rsidRDefault="00DF35E3" w:rsidP="00DF35E3">
            <w:pPr>
              <w:pStyle w:val="BodyText"/>
              <w:rPr>
                <w:rFonts w:ascii="Consolas" w:hAnsi="Consolas"/>
                <w:sz w:val="18"/>
                <w:szCs w:val="18"/>
              </w:rPr>
            </w:pPr>
            <w:r w:rsidRPr="00DF35E3">
              <w:rPr>
                <w:rFonts w:ascii="Consolas" w:hAnsi="Consolas"/>
                <w:sz w:val="18"/>
                <w:szCs w:val="18"/>
              </w:rPr>
              <w:t>1</w:t>
            </w:r>
          </w:p>
        </w:tc>
        <w:tc>
          <w:tcPr>
            <w:tcW w:w="1208" w:type="dxa"/>
          </w:tcPr>
          <w:p w14:paraId="2804D208" w14:textId="5A3DFDEC" w:rsidR="00DF35E3" w:rsidRPr="00DF35E3" w:rsidRDefault="00DF35E3" w:rsidP="00DF35E3">
            <w:pPr>
              <w:pStyle w:val="BodyText"/>
              <w:rPr>
                <w:rStyle w:val="VerbatimChar"/>
                <w:sz w:val="18"/>
                <w:szCs w:val="18"/>
              </w:rPr>
            </w:pPr>
            <w:r w:rsidRPr="00DF35E3">
              <w:rPr>
                <w:rStyle w:val="VerbatimChar"/>
                <w:sz w:val="18"/>
                <w:szCs w:val="18"/>
              </w:rPr>
              <w:t>0.1801802</w:t>
            </w:r>
          </w:p>
        </w:tc>
      </w:tr>
      <w:tr w:rsidR="00DF35E3" w:rsidRPr="00F44B22" w14:paraId="707F2FF8" w14:textId="77777777" w:rsidTr="00433D9F">
        <w:trPr>
          <w:trHeight w:val="670"/>
        </w:trPr>
        <w:tc>
          <w:tcPr>
            <w:tcW w:w="567" w:type="dxa"/>
          </w:tcPr>
          <w:p w14:paraId="2DCD6FD6" w14:textId="003C7FC1" w:rsidR="00DF35E3" w:rsidRPr="00DF35E3" w:rsidRDefault="00DF35E3" w:rsidP="00DF35E3">
            <w:pPr>
              <w:pStyle w:val="BodyText"/>
              <w:rPr>
                <w:rFonts w:ascii="Consolas" w:hAnsi="Consolas"/>
                <w:sz w:val="18"/>
                <w:szCs w:val="18"/>
              </w:rPr>
            </w:pPr>
            <w:r w:rsidRPr="00DF35E3">
              <w:rPr>
                <w:rFonts w:ascii="Consolas" w:hAnsi="Consolas"/>
                <w:sz w:val="18"/>
                <w:szCs w:val="18"/>
              </w:rPr>
              <w:t>90</w:t>
            </w:r>
          </w:p>
        </w:tc>
        <w:tc>
          <w:tcPr>
            <w:tcW w:w="4395" w:type="dxa"/>
          </w:tcPr>
          <w:p w14:paraId="3D48307F" w14:textId="41F20D9F" w:rsidR="00DF35E3" w:rsidRPr="00DF35E3" w:rsidRDefault="00DF35E3" w:rsidP="00DF35E3">
            <w:pPr>
              <w:pStyle w:val="BodyText"/>
              <w:rPr>
                <w:rStyle w:val="VerbatimChar"/>
                <w:sz w:val="18"/>
                <w:szCs w:val="18"/>
              </w:rPr>
            </w:pPr>
            <w:r w:rsidRPr="00DF35E3">
              <w:rPr>
                <w:rStyle w:val="VerbatimChar"/>
                <w:sz w:val="18"/>
                <w:szCs w:val="18"/>
              </w:rPr>
              <w:t>National Commission for Space Exploration</w:t>
            </w:r>
          </w:p>
        </w:tc>
        <w:tc>
          <w:tcPr>
            <w:tcW w:w="3429" w:type="dxa"/>
          </w:tcPr>
          <w:p w14:paraId="1579441E" w14:textId="2D65AB67" w:rsidR="00DF35E3" w:rsidRPr="00DF35E3" w:rsidRDefault="00DF35E3" w:rsidP="00DF35E3">
            <w:pPr>
              <w:pStyle w:val="BodyText"/>
              <w:rPr>
                <w:rStyle w:val="VerbatimChar"/>
                <w:sz w:val="18"/>
                <w:szCs w:val="18"/>
              </w:rPr>
            </w:pPr>
            <w:r w:rsidRPr="00DF35E3">
              <w:rPr>
                <w:rStyle w:val="VerbatimChar"/>
                <w:sz w:val="18"/>
                <w:szCs w:val="18"/>
              </w:rPr>
              <w:t>StarTech Facility Solutions</w:t>
            </w:r>
          </w:p>
        </w:tc>
        <w:tc>
          <w:tcPr>
            <w:tcW w:w="1107" w:type="dxa"/>
          </w:tcPr>
          <w:p w14:paraId="6836ED6A" w14:textId="77777777" w:rsidR="00DF35E3" w:rsidRPr="00DF35E3" w:rsidRDefault="00DF35E3" w:rsidP="00DF35E3">
            <w:pPr>
              <w:pStyle w:val="BodyText"/>
              <w:rPr>
                <w:rFonts w:ascii="Consolas" w:hAnsi="Consolas"/>
                <w:sz w:val="18"/>
                <w:szCs w:val="18"/>
              </w:rPr>
            </w:pPr>
            <w:r w:rsidRPr="00DF35E3">
              <w:rPr>
                <w:rFonts w:ascii="Consolas" w:hAnsi="Consolas"/>
                <w:sz w:val="18"/>
                <w:szCs w:val="18"/>
              </w:rPr>
              <w:t>1</w:t>
            </w:r>
          </w:p>
        </w:tc>
        <w:tc>
          <w:tcPr>
            <w:tcW w:w="1208" w:type="dxa"/>
          </w:tcPr>
          <w:p w14:paraId="1E3EF665" w14:textId="070E8484" w:rsidR="00DF35E3" w:rsidRPr="00DF35E3" w:rsidRDefault="00DF35E3" w:rsidP="00DF35E3">
            <w:pPr>
              <w:pStyle w:val="BodyText"/>
              <w:rPr>
                <w:rStyle w:val="VerbatimChar"/>
                <w:sz w:val="18"/>
                <w:szCs w:val="18"/>
              </w:rPr>
            </w:pPr>
            <w:r w:rsidRPr="00DF35E3">
              <w:rPr>
                <w:rStyle w:val="VerbatimChar"/>
                <w:sz w:val="18"/>
                <w:szCs w:val="18"/>
              </w:rPr>
              <w:t>0.1801802</w:t>
            </w:r>
          </w:p>
        </w:tc>
      </w:tr>
      <w:tr w:rsidR="00DF35E3" w:rsidRPr="00F44B22" w14:paraId="01B0B68A" w14:textId="77777777" w:rsidTr="00433D9F">
        <w:trPr>
          <w:trHeight w:val="670"/>
        </w:trPr>
        <w:tc>
          <w:tcPr>
            <w:tcW w:w="567" w:type="dxa"/>
          </w:tcPr>
          <w:p w14:paraId="5A602E89" w14:textId="020651CE" w:rsidR="00DF35E3" w:rsidRPr="00DF35E3" w:rsidRDefault="00DF35E3" w:rsidP="00DF35E3">
            <w:pPr>
              <w:pStyle w:val="BodyText"/>
              <w:rPr>
                <w:rFonts w:ascii="Consolas" w:hAnsi="Consolas"/>
                <w:sz w:val="18"/>
                <w:szCs w:val="18"/>
              </w:rPr>
            </w:pPr>
            <w:r w:rsidRPr="00DF35E3">
              <w:rPr>
                <w:rFonts w:ascii="Consolas" w:hAnsi="Consolas"/>
                <w:sz w:val="18"/>
                <w:szCs w:val="18"/>
              </w:rPr>
              <w:t>91</w:t>
            </w:r>
          </w:p>
        </w:tc>
        <w:tc>
          <w:tcPr>
            <w:tcW w:w="4395" w:type="dxa"/>
          </w:tcPr>
          <w:p w14:paraId="36E617E9" w14:textId="144347B9" w:rsidR="00DF35E3" w:rsidRPr="00DF35E3" w:rsidRDefault="00DF35E3" w:rsidP="00DF35E3">
            <w:pPr>
              <w:pStyle w:val="BodyText"/>
              <w:rPr>
                <w:rStyle w:val="VerbatimChar"/>
                <w:sz w:val="18"/>
                <w:szCs w:val="18"/>
              </w:rPr>
            </w:pPr>
            <w:r w:rsidRPr="00DF35E3">
              <w:rPr>
                <w:rStyle w:val="VerbatimChar"/>
                <w:sz w:val="18"/>
                <w:szCs w:val="18"/>
              </w:rPr>
              <w:t>National Commission for Space Exploration</w:t>
            </w:r>
          </w:p>
        </w:tc>
        <w:tc>
          <w:tcPr>
            <w:tcW w:w="3429" w:type="dxa"/>
          </w:tcPr>
          <w:p w14:paraId="34300CD4" w14:textId="3E9B55C2" w:rsidR="00DF35E3" w:rsidRPr="00DF35E3" w:rsidRDefault="00DF35E3" w:rsidP="00DF35E3">
            <w:pPr>
              <w:pStyle w:val="BodyText"/>
              <w:rPr>
                <w:rStyle w:val="VerbatimChar"/>
                <w:sz w:val="18"/>
                <w:szCs w:val="18"/>
              </w:rPr>
            </w:pPr>
            <w:proofErr w:type="spellStart"/>
            <w:r w:rsidRPr="00DF35E3">
              <w:rPr>
                <w:rStyle w:val="VerbatimChar"/>
                <w:sz w:val="18"/>
                <w:szCs w:val="18"/>
              </w:rPr>
              <w:t>SwiftGuard</w:t>
            </w:r>
            <w:proofErr w:type="spellEnd"/>
            <w:r w:rsidRPr="00DF35E3">
              <w:rPr>
                <w:rStyle w:val="VerbatimChar"/>
                <w:sz w:val="18"/>
                <w:szCs w:val="18"/>
              </w:rPr>
              <w:t xml:space="preserve"> Management</w:t>
            </w:r>
          </w:p>
        </w:tc>
        <w:tc>
          <w:tcPr>
            <w:tcW w:w="1107" w:type="dxa"/>
          </w:tcPr>
          <w:p w14:paraId="3268E9EC" w14:textId="77777777" w:rsidR="00DF35E3" w:rsidRPr="00DF35E3" w:rsidRDefault="00DF35E3" w:rsidP="00DF35E3">
            <w:pPr>
              <w:pStyle w:val="BodyText"/>
              <w:rPr>
                <w:rFonts w:ascii="Consolas" w:hAnsi="Consolas"/>
                <w:sz w:val="18"/>
                <w:szCs w:val="18"/>
              </w:rPr>
            </w:pPr>
            <w:r w:rsidRPr="00DF35E3">
              <w:rPr>
                <w:rFonts w:ascii="Consolas" w:hAnsi="Consolas"/>
                <w:sz w:val="18"/>
                <w:szCs w:val="18"/>
              </w:rPr>
              <w:t>1</w:t>
            </w:r>
          </w:p>
        </w:tc>
        <w:tc>
          <w:tcPr>
            <w:tcW w:w="1208" w:type="dxa"/>
          </w:tcPr>
          <w:p w14:paraId="7DE2D274" w14:textId="057E86B7" w:rsidR="00DF35E3" w:rsidRPr="00DF35E3" w:rsidRDefault="00DF35E3" w:rsidP="00DF35E3">
            <w:pPr>
              <w:pStyle w:val="BodyText"/>
              <w:rPr>
                <w:rStyle w:val="VerbatimChar"/>
                <w:sz w:val="18"/>
                <w:szCs w:val="18"/>
              </w:rPr>
            </w:pPr>
            <w:r w:rsidRPr="00DF35E3">
              <w:rPr>
                <w:rStyle w:val="VerbatimChar"/>
                <w:sz w:val="18"/>
                <w:szCs w:val="18"/>
              </w:rPr>
              <w:t>0.1801802</w:t>
            </w:r>
          </w:p>
        </w:tc>
      </w:tr>
    </w:tbl>
    <w:p w14:paraId="33401380" w14:textId="75C6C209" w:rsidR="00E0440B" w:rsidRDefault="0087698D">
      <w:pPr>
        <w:pStyle w:val="FirstParagraph"/>
      </w:pPr>
      <w:r>
        <w:t xml:space="preserve">We observe that there are 91 different suppliers that the agency engages, but the other 90 suppliers take between 0.1%-2.7% share of the procurements by the agency. This means that the agency does engage a wide range of suppliers, but SecureSpace Management </w:t>
      </w:r>
      <w:proofErr w:type="gramStart"/>
      <w:r>
        <w:t>in particular takes</w:t>
      </w:r>
      <w:proofErr w:type="gramEnd"/>
      <w:r>
        <w:t xml:space="preserve"> a significantly larger share of their procurements.</w:t>
      </w:r>
      <w:r w:rsidR="00362B37">
        <w:t xml:space="preserve"> </w:t>
      </w:r>
      <w:r>
        <w:t xml:space="preserve">We observe that there are 91 different suppliers that the agency engages, but the other 90 suppliers take between 0.1%-2.7% share of the procurements by the agency. This </w:t>
      </w:r>
      <w:r w:rsidR="00362B37">
        <w:t>suggests</w:t>
      </w:r>
      <w:r>
        <w:t xml:space="preserve"> that the agency does engage a wide range of suppliers, but SecureSpace Management </w:t>
      </w:r>
      <w:proofErr w:type="gramStart"/>
      <w:r>
        <w:t>in particular takes</w:t>
      </w:r>
      <w:proofErr w:type="gramEnd"/>
      <w:r>
        <w:t xml:space="preserve"> a significantly larger share of their procurements.</w:t>
      </w:r>
    </w:p>
    <w:p w14:paraId="33401381" w14:textId="437A8A03" w:rsidR="00E0440B" w:rsidRPr="002F117D" w:rsidRDefault="0087698D">
      <w:pPr>
        <w:pStyle w:val="SourceCode"/>
        <w:rPr>
          <w:sz w:val="18"/>
          <w:szCs w:val="18"/>
        </w:rPr>
      </w:pPr>
      <w:r w:rsidRPr="00C67853">
        <w:rPr>
          <w:rStyle w:val="VerbatimChar"/>
          <w:b/>
          <w:bCs/>
          <w:sz w:val="24"/>
        </w:rPr>
        <w:t xml:space="preserve">                          </w:t>
      </w:r>
      <w:r w:rsidRPr="00C67853">
        <w:rPr>
          <w:rStyle w:val="VerbatimChar"/>
          <w:b/>
          <w:bCs/>
          <w:sz w:val="24"/>
        </w:rPr>
        <w:t xml:space="preserve">Description </w:t>
      </w:r>
      <w:r w:rsidR="00C67853" w:rsidRPr="00C67853">
        <w:rPr>
          <w:rStyle w:val="VerbatimChar"/>
          <w:b/>
          <w:bCs/>
          <w:sz w:val="24"/>
        </w:rPr>
        <w:t xml:space="preserve">              </w:t>
      </w:r>
      <w:r w:rsidRPr="00C67853">
        <w:rPr>
          <w:rStyle w:val="VerbatimChar"/>
          <w:b/>
          <w:bCs/>
          <w:sz w:val="24"/>
        </w:rPr>
        <w:t>Freq</w:t>
      </w:r>
      <w:r>
        <w:br/>
      </w:r>
      <w:r>
        <w:rPr>
          <w:rStyle w:val="VerbatimChar"/>
        </w:rPr>
        <w:t xml:space="preserve"> </w:t>
      </w:r>
      <w:r w:rsidR="00C67853">
        <w:rPr>
          <w:rStyle w:val="VerbatimChar"/>
        </w:rPr>
        <w:t xml:space="preserve">   </w:t>
      </w:r>
      <w:r>
        <w:rPr>
          <w:rStyle w:val="VerbatimChar"/>
        </w:rPr>
        <w:t xml:space="preserve">        </w:t>
      </w:r>
      <w:r w:rsidRPr="002F117D">
        <w:rPr>
          <w:rStyle w:val="VerbatimChar"/>
          <w:sz w:val="18"/>
          <w:szCs w:val="18"/>
        </w:rPr>
        <w:t>Energy-efficient lighting installation and maintenance.   20</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Emergency response and disaster recovery planning.   </w:t>
      </w:r>
      <w:r w:rsidR="002F117D">
        <w:rPr>
          <w:rStyle w:val="VerbatimChar"/>
          <w:sz w:val="18"/>
          <w:szCs w:val="18"/>
        </w:rPr>
        <w:t xml:space="preserve">   </w:t>
      </w:r>
      <w:r w:rsidRPr="002F117D">
        <w:rPr>
          <w:rStyle w:val="VerbatimChar"/>
          <w:sz w:val="18"/>
          <w:szCs w:val="18"/>
        </w:rPr>
        <w:t>14</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Pest control services for a pest-free environment.   </w:t>
      </w:r>
      <w:r w:rsidR="002F117D">
        <w:rPr>
          <w:rStyle w:val="VerbatimChar"/>
          <w:sz w:val="18"/>
          <w:szCs w:val="18"/>
        </w:rPr>
        <w:t xml:space="preserve">   </w:t>
      </w:r>
      <w:r w:rsidRPr="002F117D">
        <w:rPr>
          <w:rStyle w:val="VerbatimChar"/>
          <w:sz w:val="18"/>
          <w:szCs w:val="18"/>
        </w:rPr>
        <w:t>13</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Building maintenance and repairs.   </w:t>
      </w:r>
      <w:r w:rsidR="002F117D">
        <w:rPr>
          <w:rStyle w:val="VerbatimChar"/>
          <w:sz w:val="18"/>
          <w:szCs w:val="18"/>
        </w:rPr>
        <w:t xml:space="preserve">   </w:t>
      </w:r>
      <w:r w:rsidRPr="002F117D">
        <w:rPr>
          <w:rStyle w:val="VerbatimChar"/>
          <w:sz w:val="18"/>
          <w:szCs w:val="18"/>
        </w:rPr>
        <w:t>11</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24/7 security and access control management.   </w:t>
      </w:r>
      <w:r w:rsidR="002F117D">
        <w:rPr>
          <w:rStyle w:val="VerbatimChar"/>
          <w:sz w:val="18"/>
          <w:szCs w:val="18"/>
        </w:rPr>
        <w:t xml:space="preserve">   </w:t>
      </w:r>
      <w:r w:rsidRPr="002F117D">
        <w:rPr>
          <w:rStyle w:val="VerbatimChar"/>
          <w:sz w:val="18"/>
          <w:szCs w:val="18"/>
        </w:rPr>
        <w:t>10</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Energy-efficient systems and consumption monitoring.   </w:t>
      </w:r>
      <w:r w:rsidR="002F117D">
        <w:rPr>
          <w:rStyle w:val="VerbatimChar"/>
          <w:sz w:val="18"/>
          <w:szCs w:val="18"/>
        </w:rPr>
        <w:t xml:space="preserve">   </w:t>
      </w:r>
      <w:r w:rsidRPr="002F117D">
        <w:rPr>
          <w:rStyle w:val="VerbatimChar"/>
          <w:sz w:val="18"/>
          <w:szCs w:val="18"/>
        </w:rPr>
        <w:t>10</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Fire safety system installation and maintenance.   </w:t>
      </w:r>
      <w:r w:rsidR="002F117D">
        <w:rPr>
          <w:rStyle w:val="VerbatimChar"/>
          <w:sz w:val="18"/>
          <w:szCs w:val="18"/>
        </w:rPr>
        <w:t xml:space="preserve">   </w:t>
      </w:r>
      <w:r w:rsidRPr="002F117D">
        <w:rPr>
          <w:rStyle w:val="VerbatimChar"/>
          <w:sz w:val="18"/>
          <w:szCs w:val="18"/>
        </w:rPr>
        <w:t>10</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Furniture and equipment maintenance and inventory tracking.   </w:t>
      </w:r>
      <w:r w:rsidR="002F117D">
        <w:rPr>
          <w:rStyle w:val="VerbatimChar"/>
          <w:sz w:val="18"/>
          <w:szCs w:val="18"/>
        </w:rPr>
        <w:t xml:space="preserve">   </w:t>
      </w:r>
      <w:r w:rsidRPr="002F117D">
        <w:rPr>
          <w:rStyle w:val="VerbatimChar"/>
          <w:sz w:val="18"/>
          <w:szCs w:val="18"/>
        </w:rPr>
        <w:t>10</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Indoor air quality monitoring and improvement measures.   </w:t>
      </w:r>
      <w:r w:rsidR="002F117D">
        <w:rPr>
          <w:rStyle w:val="VerbatimChar"/>
          <w:sz w:val="18"/>
          <w:szCs w:val="18"/>
        </w:rPr>
        <w:t xml:space="preserve">   </w:t>
      </w:r>
      <w:r w:rsidRPr="002F117D">
        <w:rPr>
          <w:rStyle w:val="VerbatimChar"/>
          <w:sz w:val="18"/>
          <w:szCs w:val="18"/>
        </w:rPr>
        <w:t xml:space="preserve"> 9</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Renovation and remodeling project management.   </w:t>
      </w:r>
      <w:r w:rsidR="002F117D">
        <w:rPr>
          <w:rStyle w:val="VerbatimChar"/>
          <w:sz w:val="18"/>
          <w:szCs w:val="18"/>
        </w:rPr>
        <w:t xml:space="preserve">   </w:t>
      </w:r>
      <w:r w:rsidRPr="002F117D">
        <w:rPr>
          <w:rStyle w:val="VerbatimChar"/>
          <w:sz w:val="18"/>
          <w:szCs w:val="18"/>
        </w:rPr>
        <w:t xml:space="preserve"> 9</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Expert landscaping and groundskeeping solutions.   </w:t>
      </w:r>
      <w:r w:rsidR="002F117D">
        <w:rPr>
          <w:rStyle w:val="VerbatimChar"/>
          <w:sz w:val="18"/>
          <w:szCs w:val="18"/>
        </w:rPr>
        <w:t xml:space="preserve">   </w:t>
      </w:r>
      <w:r w:rsidRPr="002F117D">
        <w:rPr>
          <w:rStyle w:val="VerbatimChar"/>
          <w:sz w:val="18"/>
          <w:szCs w:val="18"/>
        </w:rPr>
        <w:t xml:space="preserve"> 8</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HVAC system maintenance and climate control optimization.   </w:t>
      </w:r>
      <w:r w:rsidR="002F117D">
        <w:rPr>
          <w:rStyle w:val="VerbatimChar"/>
          <w:sz w:val="18"/>
          <w:szCs w:val="18"/>
        </w:rPr>
        <w:t xml:space="preserve">   </w:t>
      </w:r>
      <w:r w:rsidRPr="002F117D">
        <w:rPr>
          <w:rStyle w:val="VerbatimChar"/>
          <w:sz w:val="18"/>
          <w:szCs w:val="18"/>
        </w:rPr>
        <w:t xml:space="preserve"> 8</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Space planning and utilization optimization strategies.   </w:t>
      </w:r>
      <w:r w:rsidR="002F117D">
        <w:rPr>
          <w:rStyle w:val="VerbatimChar"/>
          <w:sz w:val="18"/>
          <w:szCs w:val="18"/>
        </w:rPr>
        <w:t xml:space="preserve">   </w:t>
      </w:r>
      <w:r w:rsidRPr="002F117D">
        <w:rPr>
          <w:rStyle w:val="VerbatimChar"/>
          <w:sz w:val="18"/>
          <w:szCs w:val="18"/>
        </w:rPr>
        <w:t xml:space="preserve"> 8</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Tenant communication and customer service assistance.   </w:t>
      </w:r>
      <w:r w:rsidR="002F117D">
        <w:rPr>
          <w:rStyle w:val="VerbatimChar"/>
          <w:sz w:val="18"/>
          <w:szCs w:val="18"/>
        </w:rPr>
        <w:t xml:space="preserve">   </w:t>
      </w:r>
      <w:r w:rsidRPr="002F117D">
        <w:rPr>
          <w:rStyle w:val="VerbatimChar"/>
          <w:sz w:val="18"/>
          <w:szCs w:val="18"/>
        </w:rPr>
        <w:t xml:space="preserve"> 8</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Health and safety compliance management and training.   </w:t>
      </w:r>
      <w:r w:rsidR="002F117D">
        <w:rPr>
          <w:rStyle w:val="VerbatimChar"/>
          <w:sz w:val="18"/>
          <w:szCs w:val="18"/>
        </w:rPr>
        <w:t xml:space="preserve">   </w:t>
      </w:r>
      <w:r w:rsidRPr="002F117D">
        <w:rPr>
          <w:rStyle w:val="VerbatimChar"/>
          <w:sz w:val="18"/>
          <w:szCs w:val="18"/>
        </w:rPr>
        <w:t xml:space="preserve"> 7</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Parking management and traffic control solutions.   </w:t>
      </w:r>
      <w:r w:rsidR="002F117D">
        <w:rPr>
          <w:rStyle w:val="VerbatimChar"/>
          <w:sz w:val="18"/>
          <w:szCs w:val="18"/>
        </w:rPr>
        <w:t xml:space="preserve">   </w:t>
      </w:r>
      <w:r w:rsidRPr="002F117D">
        <w:rPr>
          <w:rStyle w:val="VerbatimChar"/>
          <w:sz w:val="18"/>
          <w:szCs w:val="18"/>
        </w:rPr>
        <w:t xml:space="preserve"> 7</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Waste management and recycling program implementation.   </w:t>
      </w:r>
      <w:r w:rsidR="002F117D">
        <w:rPr>
          <w:rStyle w:val="VerbatimChar"/>
          <w:sz w:val="18"/>
          <w:szCs w:val="18"/>
        </w:rPr>
        <w:t xml:space="preserve">   </w:t>
      </w:r>
      <w:r w:rsidRPr="002F117D">
        <w:rPr>
          <w:rStyle w:val="VerbatimChar"/>
          <w:sz w:val="18"/>
          <w:szCs w:val="18"/>
        </w:rPr>
        <w:t xml:space="preserve"> 7</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Building automation and smart technology integration.   </w:t>
      </w:r>
      <w:r w:rsidR="002F117D">
        <w:rPr>
          <w:rStyle w:val="VerbatimChar"/>
          <w:sz w:val="18"/>
          <w:szCs w:val="18"/>
        </w:rPr>
        <w:t xml:space="preserve">   </w:t>
      </w:r>
      <w:r w:rsidRPr="002F117D">
        <w:rPr>
          <w:rStyle w:val="VerbatimChar"/>
          <w:sz w:val="18"/>
          <w:szCs w:val="18"/>
        </w:rPr>
        <w:t xml:space="preserve"> 4</w:t>
      </w:r>
      <w:r w:rsidRPr="002F117D">
        <w:rPr>
          <w:sz w:val="18"/>
          <w:szCs w:val="18"/>
        </w:rPr>
        <w:br/>
      </w:r>
      <w:r w:rsidRPr="002F117D">
        <w:rPr>
          <w:rStyle w:val="VerbatimChar"/>
          <w:sz w:val="18"/>
          <w:szCs w:val="18"/>
        </w:rPr>
        <w:t xml:space="preserve"> </w:t>
      </w:r>
      <w:r w:rsidR="00C67853" w:rsidRPr="002F117D">
        <w:rPr>
          <w:rStyle w:val="VerbatimChar"/>
          <w:sz w:val="18"/>
          <w:szCs w:val="18"/>
        </w:rPr>
        <w:t xml:space="preserve">   </w:t>
      </w:r>
      <w:r w:rsidRPr="002F117D">
        <w:rPr>
          <w:rStyle w:val="VerbatimChar"/>
          <w:sz w:val="18"/>
          <w:szCs w:val="18"/>
        </w:rPr>
        <w:t xml:space="preserve"> Comprehensive janitorial services and cleanliness maintenance.   </w:t>
      </w:r>
      <w:r w:rsidR="002F117D">
        <w:rPr>
          <w:rStyle w:val="VerbatimChar"/>
          <w:sz w:val="18"/>
          <w:szCs w:val="18"/>
        </w:rPr>
        <w:t xml:space="preserve">   </w:t>
      </w:r>
      <w:r w:rsidRPr="002F117D">
        <w:rPr>
          <w:rStyle w:val="VerbatimChar"/>
          <w:sz w:val="18"/>
          <w:szCs w:val="18"/>
        </w:rPr>
        <w:t xml:space="preserve"> 4</w:t>
      </w:r>
    </w:p>
    <w:p w14:paraId="33401382" w14:textId="77777777" w:rsidR="00E0440B" w:rsidRDefault="0087698D">
      <w:pPr>
        <w:pStyle w:val="FirstParagraph"/>
      </w:pPr>
      <w:r>
        <w:t xml:space="preserve">The above table shows the type of projects done by SecureSpace Management and are procured by the National Commission for Space Exploration (NCSE). These are spread across 19 different procurement description categories, which means that NCSE is significantly more reliant on SecureSpace Management for </w:t>
      </w:r>
      <w:proofErr w:type="gramStart"/>
      <w:r>
        <w:t>a large number of</w:t>
      </w:r>
      <w:proofErr w:type="gramEnd"/>
      <w:r>
        <w:t xml:space="preserve"> their different needs.</w:t>
      </w:r>
    </w:p>
    <w:p w14:paraId="1D70A9AD" w14:textId="77777777" w:rsidR="002F117D" w:rsidRDefault="002F117D" w:rsidP="002F117D">
      <w:pPr>
        <w:pStyle w:val="BodyText"/>
      </w:pPr>
    </w:p>
    <w:p w14:paraId="251F074A" w14:textId="34582666" w:rsidR="002F117D" w:rsidRPr="002F117D" w:rsidRDefault="002F117D" w:rsidP="006063AC">
      <w:pPr>
        <w:pStyle w:val="Heading1"/>
      </w:pPr>
      <w:r>
        <w:lastRenderedPageBreak/>
        <w:t>Recommendations</w:t>
      </w:r>
    </w:p>
    <w:p w14:paraId="15DBAA2A" w14:textId="368A5C0D" w:rsidR="002F117D" w:rsidRDefault="006063AC" w:rsidP="006063AC">
      <w:pPr>
        <w:pStyle w:val="BodyText"/>
        <w:numPr>
          <w:ilvl w:val="0"/>
          <w:numId w:val="2"/>
        </w:numPr>
      </w:pPr>
      <w:r>
        <w:t xml:space="preserve">The 10 ITQ procurements below $10,000 can be procured through SVP instead of ITQ to </w:t>
      </w:r>
      <w:proofErr w:type="spellStart"/>
      <w:r w:rsidR="00FD0F4C">
        <w:t>minimise</w:t>
      </w:r>
      <w:proofErr w:type="spellEnd"/>
      <w:r w:rsidR="00FD0F4C">
        <w:t xml:space="preserve"> paperwork and increase efficiency.</w:t>
      </w:r>
    </w:p>
    <w:p w14:paraId="23BD2C6A" w14:textId="6343F01E" w:rsidR="005813B8" w:rsidRDefault="005C6413" w:rsidP="006063AC">
      <w:pPr>
        <w:pStyle w:val="BodyText"/>
        <w:numPr>
          <w:ilvl w:val="0"/>
          <w:numId w:val="2"/>
        </w:numPr>
      </w:pPr>
      <w:r>
        <w:t>T</w:t>
      </w:r>
      <w:r w:rsidR="00563C09">
        <w:t>he Bureau of Urban Development and Infrastructure (BUDI)</w:t>
      </w:r>
      <w:r w:rsidR="00563C09">
        <w:t xml:space="preserve"> </w:t>
      </w:r>
      <w:r w:rsidR="00695D05">
        <w:t xml:space="preserve">is overrepresented in ITT procurements above $1 million. BUDI </w:t>
      </w:r>
      <w:r w:rsidR="00692CCA">
        <w:t>should</w:t>
      </w:r>
      <w:r w:rsidR="00695D05">
        <w:t xml:space="preserve"> consider ‘spreading out’ its procurements </w:t>
      </w:r>
      <w:r w:rsidR="000541DB">
        <w:t>across different procurement instances to en</w:t>
      </w:r>
      <w:r w:rsidR="00D928C0">
        <w:t>hance competiti</w:t>
      </w:r>
      <w:r w:rsidR="00AF2AB3">
        <w:t xml:space="preserve">on and ensure greater business continuity </w:t>
      </w:r>
      <w:proofErr w:type="gramStart"/>
      <w:r w:rsidR="00AF2AB3">
        <w:t>in the event that</w:t>
      </w:r>
      <w:proofErr w:type="gramEnd"/>
      <w:r w:rsidR="00AF2AB3">
        <w:t xml:space="preserve"> one supplier is unable to fulfil </w:t>
      </w:r>
      <w:r w:rsidR="005813B8">
        <w:t>the procurement request.</w:t>
      </w:r>
    </w:p>
    <w:p w14:paraId="67BD69D7" w14:textId="1EDAE37D" w:rsidR="00A35169" w:rsidRDefault="000541DB" w:rsidP="00A35169">
      <w:pPr>
        <w:pStyle w:val="BodyText"/>
        <w:numPr>
          <w:ilvl w:val="0"/>
          <w:numId w:val="2"/>
        </w:numPr>
      </w:pPr>
      <w:r>
        <w:t xml:space="preserve"> </w:t>
      </w:r>
      <w:r w:rsidR="0006086E">
        <w:t>The supplier,</w:t>
      </w:r>
      <w:r w:rsidR="0006086E" w:rsidRPr="0006086E">
        <w:t xml:space="preserve"> </w:t>
      </w:r>
      <w:proofErr w:type="spellStart"/>
      <w:r w:rsidR="0006086E">
        <w:t>InfiniteSpace</w:t>
      </w:r>
      <w:proofErr w:type="spellEnd"/>
      <w:r w:rsidR="0006086E">
        <w:t xml:space="preserve"> Building Solutions</w:t>
      </w:r>
      <w:r w:rsidR="0006086E">
        <w:t xml:space="preserve">, </w:t>
      </w:r>
      <w:r w:rsidR="0070765A">
        <w:t xml:space="preserve">is particularly </w:t>
      </w:r>
      <w:r w:rsidR="00B3725F">
        <w:t xml:space="preserve">concentrated on the procurement category </w:t>
      </w:r>
      <w:r w:rsidR="00B3725F">
        <w:t>“</w:t>
      </w:r>
      <w:r w:rsidR="00B3725F">
        <w:t>c</w:t>
      </w:r>
      <w:r w:rsidR="00B3725F">
        <w:t>leaning supplies and consumables procurement and management”</w:t>
      </w:r>
      <w:r w:rsidR="00B3725F">
        <w:t xml:space="preserve">. Since </w:t>
      </w:r>
      <w:proofErr w:type="spellStart"/>
      <w:r w:rsidR="00B3725F">
        <w:t>InfiniteSpace</w:t>
      </w:r>
      <w:proofErr w:type="spellEnd"/>
      <w:r w:rsidR="00B3725F">
        <w:t xml:space="preserve"> Building Solutions also offers almost all the other procurement categories, agencies </w:t>
      </w:r>
      <w:r w:rsidR="00692CCA">
        <w:t>could</w:t>
      </w:r>
      <w:r w:rsidR="00B3725F">
        <w:t xml:space="preserve"> consider </w:t>
      </w:r>
      <w:r w:rsidR="00A35169">
        <w:t xml:space="preserve">procuring more of other procurement categories from </w:t>
      </w:r>
      <w:proofErr w:type="spellStart"/>
      <w:r w:rsidR="00A35169">
        <w:t>InfiniteSpace</w:t>
      </w:r>
      <w:proofErr w:type="spellEnd"/>
      <w:r w:rsidR="00A35169">
        <w:t xml:space="preserve"> Building Solutions</w:t>
      </w:r>
      <w:r w:rsidR="00692CCA">
        <w:t>.</w:t>
      </w:r>
    </w:p>
    <w:p w14:paraId="53692438" w14:textId="3666201D" w:rsidR="00692CCA" w:rsidRPr="002F117D" w:rsidRDefault="007D11EF" w:rsidP="00A35169">
      <w:pPr>
        <w:pStyle w:val="BodyText"/>
        <w:numPr>
          <w:ilvl w:val="0"/>
          <w:numId w:val="2"/>
        </w:numPr>
      </w:pPr>
      <w:r>
        <w:t xml:space="preserve">The agency, </w:t>
      </w:r>
      <w:r>
        <w:t>National Commission for Space Exploration</w:t>
      </w:r>
      <w:r w:rsidR="00752832">
        <w:t xml:space="preserve"> (NCSE)</w:t>
      </w:r>
      <w:r>
        <w:t xml:space="preserve">, is overly reliant on the supplier, </w:t>
      </w:r>
      <w:proofErr w:type="spellStart"/>
      <w:r w:rsidR="00752832">
        <w:t>SecureSpace</w:t>
      </w:r>
      <w:proofErr w:type="spellEnd"/>
      <w:r w:rsidR="00752832">
        <w:t xml:space="preserve"> Management</w:t>
      </w:r>
      <w:r w:rsidR="00752832">
        <w:t xml:space="preserve"> for a wide variety of procurement categories. </w:t>
      </w:r>
      <w:r w:rsidR="00C37F43">
        <w:t xml:space="preserve">As NCSE already has procurements from many </w:t>
      </w:r>
      <w:r w:rsidR="00476F51">
        <w:t xml:space="preserve">different suppliers, it should diversify its procurements away from </w:t>
      </w:r>
      <w:r w:rsidR="00FB2D80">
        <w:t xml:space="preserve">NCSE and strive for a more equal share of projects awarded to its suppliers, which would </w:t>
      </w:r>
      <w:r w:rsidR="00C755D2">
        <w:t xml:space="preserve">help in the event </w:t>
      </w:r>
      <w:proofErr w:type="spellStart"/>
      <w:r w:rsidR="00C755D2">
        <w:t>SecureSpace</w:t>
      </w:r>
      <w:proofErr w:type="spellEnd"/>
      <w:r w:rsidR="00C755D2">
        <w:t xml:space="preserve"> Management is unable to fulfil its procurement requests.</w:t>
      </w:r>
    </w:p>
    <w:bookmarkEnd w:id="6"/>
    <w:sectPr w:rsidR="00692CCA" w:rsidRPr="002F11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0138D" w14:textId="77777777" w:rsidR="0087698D" w:rsidRDefault="0087698D">
      <w:pPr>
        <w:spacing w:after="0"/>
      </w:pPr>
      <w:r>
        <w:separator/>
      </w:r>
    </w:p>
  </w:endnote>
  <w:endnote w:type="continuationSeparator" w:id="0">
    <w:p w14:paraId="3340138F" w14:textId="77777777" w:rsidR="0087698D" w:rsidRDefault="008769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01389" w14:textId="77777777" w:rsidR="00E0440B" w:rsidRDefault="0087698D">
      <w:r>
        <w:separator/>
      </w:r>
    </w:p>
  </w:footnote>
  <w:footnote w:type="continuationSeparator" w:id="0">
    <w:p w14:paraId="3340138A" w14:textId="77777777" w:rsidR="00E0440B" w:rsidRDefault="00876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5CFF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915562D"/>
    <w:multiLevelType w:val="hybridMultilevel"/>
    <w:tmpl w:val="435472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8261879">
    <w:abstractNumId w:val="0"/>
  </w:num>
  <w:num w:numId="2" w16cid:durableId="362898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440B"/>
    <w:rsid w:val="000541DB"/>
    <w:rsid w:val="0006086E"/>
    <w:rsid w:val="0008200B"/>
    <w:rsid w:val="000E4AB1"/>
    <w:rsid w:val="000F2554"/>
    <w:rsid w:val="001126D4"/>
    <w:rsid w:val="001B4CBE"/>
    <w:rsid w:val="00223F4B"/>
    <w:rsid w:val="00264353"/>
    <w:rsid w:val="002F117D"/>
    <w:rsid w:val="003156FE"/>
    <w:rsid w:val="00362B37"/>
    <w:rsid w:val="003D2BE9"/>
    <w:rsid w:val="00433D9F"/>
    <w:rsid w:val="00476F51"/>
    <w:rsid w:val="00481F30"/>
    <w:rsid w:val="004B3C81"/>
    <w:rsid w:val="004D79FF"/>
    <w:rsid w:val="004F0DC5"/>
    <w:rsid w:val="00563C09"/>
    <w:rsid w:val="00576FA3"/>
    <w:rsid w:val="005813B8"/>
    <w:rsid w:val="005B45F8"/>
    <w:rsid w:val="005C6413"/>
    <w:rsid w:val="005E0DAC"/>
    <w:rsid w:val="005E2506"/>
    <w:rsid w:val="005E70A3"/>
    <w:rsid w:val="005F0184"/>
    <w:rsid w:val="006063AC"/>
    <w:rsid w:val="00686583"/>
    <w:rsid w:val="00692CCA"/>
    <w:rsid w:val="00695D05"/>
    <w:rsid w:val="006D3596"/>
    <w:rsid w:val="006E3707"/>
    <w:rsid w:val="0070765A"/>
    <w:rsid w:val="00725AF7"/>
    <w:rsid w:val="00736121"/>
    <w:rsid w:val="00752832"/>
    <w:rsid w:val="007D11EF"/>
    <w:rsid w:val="007D49D0"/>
    <w:rsid w:val="007F3453"/>
    <w:rsid w:val="0087698D"/>
    <w:rsid w:val="008C3C06"/>
    <w:rsid w:val="0092720E"/>
    <w:rsid w:val="009709E3"/>
    <w:rsid w:val="00A35169"/>
    <w:rsid w:val="00AF2AB3"/>
    <w:rsid w:val="00AF4E8D"/>
    <w:rsid w:val="00B3725F"/>
    <w:rsid w:val="00B50027"/>
    <w:rsid w:val="00B5187D"/>
    <w:rsid w:val="00BA63D9"/>
    <w:rsid w:val="00BB1862"/>
    <w:rsid w:val="00BB6BE3"/>
    <w:rsid w:val="00BB7570"/>
    <w:rsid w:val="00BD055D"/>
    <w:rsid w:val="00C37F43"/>
    <w:rsid w:val="00C67853"/>
    <w:rsid w:val="00C755D2"/>
    <w:rsid w:val="00C92688"/>
    <w:rsid w:val="00CD0433"/>
    <w:rsid w:val="00CF7491"/>
    <w:rsid w:val="00D00F12"/>
    <w:rsid w:val="00D90C90"/>
    <w:rsid w:val="00D928C0"/>
    <w:rsid w:val="00D941E5"/>
    <w:rsid w:val="00DF35E3"/>
    <w:rsid w:val="00E0440B"/>
    <w:rsid w:val="00E701D3"/>
    <w:rsid w:val="00EA46F2"/>
    <w:rsid w:val="00EA75D5"/>
    <w:rsid w:val="00ED3BB2"/>
    <w:rsid w:val="00F44B22"/>
    <w:rsid w:val="00F53752"/>
    <w:rsid w:val="00F74892"/>
    <w:rsid w:val="00F96AF5"/>
    <w:rsid w:val="00FA1791"/>
    <w:rsid w:val="00FB2D80"/>
    <w:rsid w:val="00FC615D"/>
    <w:rsid w:val="00FD0F4C"/>
  </w:rsids>
  <m:mathPr>
    <m:mathFont m:val="Cambria Math"/>
    <m:brkBin m:val="before"/>
    <m:brkBinSub m:val="--"/>
    <m:smallFrac m:val="0"/>
    <m:dispDef/>
    <m:lMargin m:val="0"/>
    <m:rMargin m:val="0"/>
    <m:defJc m:val="centerGroup"/>
    <m:wrapRight/>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1340"/>
  <w15:docId w15:val="{DCA98EF7-95B9-4150-8583-A1D594CA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B50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67071">
      <w:bodyDiv w:val="1"/>
      <w:marLeft w:val="0"/>
      <w:marRight w:val="0"/>
      <w:marTop w:val="0"/>
      <w:marBottom w:val="0"/>
      <w:divBdr>
        <w:top w:val="none" w:sz="0" w:space="0" w:color="auto"/>
        <w:left w:val="none" w:sz="0" w:space="0" w:color="auto"/>
        <w:bottom w:val="none" w:sz="0" w:space="0" w:color="auto"/>
        <w:right w:val="none" w:sz="0" w:space="0" w:color="auto"/>
      </w:divBdr>
    </w:div>
    <w:div w:id="1285775201">
      <w:bodyDiv w:val="1"/>
      <w:marLeft w:val="0"/>
      <w:marRight w:val="0"/>
      <w:marTop w:val="0"/>
      <w:marBottom w:val="0"/>
      <w:divBdr>
        <w:top w:val="none" w:sz="0" w:space="0" w:color="auto"/>
        <w:left w:val="none" w:sz="0" w:space="0" w:color="auto"/>
        <w:bottom w:val="none" w:sz="0" w:space="0" w:color="auto"/>
        <w:right w:val="none" w:sz="0" w:space="0" w:color="auto"/>
      </w:divBdr>
    </w:div>
    <w:div w:id="1741367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2115</Words>
  <Characters>12059</Characters>
  <Application>Microsoft Office Word</Application>
  <DocSecurity>0</DocSecurity>
  <Lines>100</Lines>
  <Paragraphs>28</Paragraphs>
  <ScaleCrop>false</ScaleCrop>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AGO Data Challenge</dc:title>
  <dc:creator>Nicholas Chung</dc:creator>
  <cp:keywords/>
  <cp:lastModifiedBy>Chung Nicholas</cp:lastModifiedBy>
  <cp:revision>2</cp:revision>
  <dcterms:created xsi:type="dcterms:W3CDTF">2023-09-15T09:29:00Z</dcterms:created>
  <dcterms:modified xsi:type="dcterms:W3CDTF">2023-09-15T09:29:00Z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2023-09-08</vt:lpwstr>
  </property>
  <property fmtid="{D5CDD505-2E9C-101B-9397-08002B2CF9AE}" pid="3" name="output">
    <vt:lpwstr/>
  </property>
</Properties>
</file>