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Comparative Analysis of Copper and Carbon Nanotube (CNT) Bundle Interconnects at 45 nm, 14 nm, and 7 nm Technology Nodes</w:t>
      </w:r>
    </w:p>
    <w:p>
      <w:r>
        <w:t>RLC Comparison at 100 μm, 500 μm, and 1000 μm Interconnect Lengths</w:t>
      </w:r>
    </w:p>
    <w:p>
      <w:pPr>
        <w:pStyle w:val="Heading1"/>
      </w:pPr>
      <w:r>
        <w:t>Abstract</w:t>
      </w:r>
    </w:p>
    <w:p>
      <w:r>
        <w:t>As CMOS technology scales into the deep-nanometre regime, on-chip copper (Cu) interconnects suffer severe resistivity degradation from surface and grain-boundary electron scattering, threatening the delay, power, and reliability advantages promised by device scaling. Carbon nanotube (CNT) bundles have been proposed as a potential alternative interconnect material owing to their high current-carrying capacity, long electron mean free path, and favourable thermal properties. This project presents a quantitative resistanceâinductanceâcapacitance (RLC) comparison between Cu and single-walled CNT (SWCNT) bundle interconnects across three technology nodes â 45 nm, 14 nm, and 7 nm â and three interconnect lengths â 100 μm, 500 μm, and 1000 μm â representative of local, intermediate, and global on-chip wiring tiers. Cu resistivity is modelled using the combined FuchsâSondheimer (surface scattering) and MayadasâShatzkes (grain-boundary scattering) formulation, capacitance using the SakuraiâTamaru empirical model, and self-inductance using the Neumann formula. The SWCNT bundle is modelled using a phonon-scattering-limited resistance model together with quantum, magnetic, and electrostatic inductance/capacitance components, following recent literature. Using ITRS/IRDS-derived geometries for each node, the results show that Cu's effective resistivity rises from about 2.4 μΩ·cm at 45 nm to about 16.8 μΩ·cm at 7 nm, and that, under the unsorted-synthesis assumption used here (Fm = 1/3, contact resistance = 10 kΩ), the resistance gap between Cu and CNT bundles narrows sharply with scaling — from roughly 50× at 45 nm to about 2× at 7 nm for a 1000 μm line — while CNT bundle inductance and capacitance remain consistently higher than Cu's across every case studied. These findings quantify the conditions under which CNT bundles begin to approach Cu's electrical performance and identify contact resistance and metallic-tube yield as the dominant limiting factors.</w:t>
      </w:r>
    </w:p>
    <w:p>
      <w:pPr>
        <w:pStyle w:val="Heading1"/>
      </w:pPr>
      <w:r>
        <w:t>1. Introduction</w:t>
      </w:r>
    </w:p>
    <w:p>
      <w:pPr>
        <w:pStyle w:val="Heading2"/>
      </w:pPr>
      <w:r>
        <w:t>1.1 Background</w:t>
      </w:r>
    </w:p>
    <w:p>
      <w:r>
        <w:t>The continuous scaling of complementary metal-oxide-semiconductor (CMOS) technology, as projected historically by the International Technology Roadmap for Semiconductors (ITRS) and, more recently, the International Roadmap for Devices and Systems (IRDS) [1]–[3], has reduced on-chip wire dimensions into the deep sub-20 nm regime. While transistor switching speed has continued to improve with scaling, the resistance–capacitance (RC) delay of the on-chip metal interconnects that route signals between transistors has become the dominant bottleneck in modern very-large-scale-integration (VLSI) circuits. Copper (Cu), adopted industry-wide in the late 1990s to replace aluminium because of its lower bulk resistivity and superior electromigration resistance, is itself now a limiting factor at advanced nodes. As wire width and height shrink toward — and below — the electron mean free path of bulk Cu (≈39 nm at 21 °C), conduction electrons scatter increasingly at the wire surfaces and at grain boundaries within the polycrystalline film. In addition, a thin tantalum-based diffusion barrier (TaN/Ta), required to prevent Cu from diffusing into the surrounding dielectric, must be carved out of the wire's already-shrinking cross-section, consuming close to 29% of the wire width at the 7 nm node. Together, these effects can raise Cu's effective resistivity by an order of magnitude or more relative to its bulk value, degrading interconnect delay, increasing power dissipation, and worsening electromigration reliability.</w:t>
      </w:r>
    </w:p>
    <w:p>
      <w:pPr>
        <w:pStyle w:val="Heading2"/>
      </w:pPr>
      <w:r>
        <w:t>1.2 Motivation</w:t>
      </w:r>
    </w:p>
    <w:p>
      <w:r>
        <w:t>This deterioration in Cu performance at scaled nodes has motivated a substantial body of research into alternative interconnect conductors, including ruthenium, cobalt, graphene, and carbon nanotubes (CNTs). Single-walled carbon nanotubes (SWCNTs), in particular, are attractive because a metallic SWCNT can carry current densities several orders of magnitude higher than Cu, exhibits a room-temperature electron mean free path on the order of a micrometre — far longer than the physical dimensions of a scaled interconnect — and offers high thermal conductivity and mechanical robustness. When arranged as densely packed bundles running through a Cu-style trench, SWCNT bundles have been proposed as a potential replacement for local, intermediate, and even global on-chip wiring. However, an individual SWCNT also carries substantial quantum (contact) resistance, and a real bundle grown by present-day synthesis techniques contains a mixture of metallic and semiconducting tubes, so that only a fraction of the bundle actually conducts. Quantifying whether, and under what conditions, CNT bundles can outperform Cu at a given technology node and wire length is therefore an open and practically important question, and is the central motivation for this project.</w:t>
      </w:r>
    </w:p>
    <w:p>
      <w:pPr>
        <w:pStyle w:val="Heading2"/>
      </w:pPr>
      <w:r>
        <w:t>1.3 Objectives</w:t>
      </w:r>
    </w:p>
    <w:p>
      <w:pPr>
        <w:pStyle w:val="ListBullet"/>
      </w:pPr>
      <w:r>
        <w:t>To model the resistance, inductance, and capacitance (RLC) of Cu interconnects at the 45 nm, 14 nm, and 7 nm technology nodes using the combined Fuchs\u2013Sondheimer/Mayadas\u2013Shatzkes resistivity model, the Sakurai\u2013Tamaru capacitance model, and the Neumann self-inductance formula.</w:t>
      </w:r>
    </w:p>
    <w:p>
      <w:pPr>
        <w:pStyle w:val="ListBullet"/>
      </w:pPr>
      <w:r>
        <w:t>To model the RLC parameters of SWCNT bundle interconnects at the same nodes using a phonon-scattering-limited resistance model together with quantum, magnetic, and electrostatic inductance/capacitance contributions.</w:t>
      </w:r>
    </w:p>
    <w:p>
      <w:pPr>
        <w:pStyle w:val="ListBullet"/>
      </w:pPr>
      <w:r>
        <w:t>To evaluate both interconnect types at three representative wire lengths \u2014 100 \u03bcm, 500 \u03bcm, and 1000 \u03bcm \u2014 corresponding to local, intermediate, and global interconnect tiers.</w:t>
      </w:r>
    </w:p>
    <w:p>
      <w:pPr>
        <w:pStyle w:val="ListBullet"/>
      </w:pPr>
      <w:r>
        <w:t>To compare the resulting R, L, and C values across all node\u2013length combinations and identify the technology nodes and lengths at which SWCNT bundles most closely approach, or could exceed, Cu's electrical performance.</w:t>
      </w:r>
    </w:p>
    <w:p>
      <w:pPr>
        <w:pStyle w:val="ListBullet"/>
      </w:pPr>
      <w:r>
        <w:t>To document all modelling assumptions transparently so the analysis can be extended to delay (Elmore), power-delay product (PDP), and energy-delay product (EDP) evaluation in subsequent work.</w:t>
      </w:r>
    </w:p>
    <w:p>
      <w:pPr>
        <w:pStyle w:val="Heading2"/>
      </w:pPr>
      <w:r>
        <w:t>1.4 Scope and Assumptions</w:t>
      </w:r>
    </w:p>
    <w:p>
      <w:r>
        <w:t>The geometric parameters used for each technology node — wire width, aspect ratio, spacing, dielectric constant, and barrier thickness — are taken from the ITRS 2009 interconnect chapter (45 nm), ITRS 2.0 (2015) (14 nm), and IRDS 2022 (7 nm) [1]–[3]. The SWCNT bundle is assumed to be produced by an unsorted synthesis process, giving a metallic tube fraction Fm = 1/3, with a representative metal–CNT contact resistance of 10 kΩ per tube; both parameters are treated as adjustable assumptions and their influence on the results can be examined through sensitivity analysis. All calculations correspond to a single, isolated signal line at room temperature (300 K); coupling to adjacent lines beyond the spacing-dependent fringe-capacitance term already built into the Cu model is outside the present scope.</w:t>
      </w:r>
    </w:p>
    <w:p>
      <w:pPr>
        <w:pStyle w:val="Heading1"/>
      </w:pPr>
      <w:r>
        <w:t>2. Literature Review</w:t>
      </w:r>
    </w:p>
    <w:p>
      <w:pPr>
        <w:pStyle w:val="Heading2"/>
      </w:pPr>
      <w:r>
        <w:t>2.1 Copper Interconnect Scaling and the Resistivity Problem</w:t>
      </w:r>
    </w:p>
    <w:p>
      <w:r>
        <w:t>The interconnect scaling trends and geometric projections used throughout this project are drawn from three successive editions of the international semiconductor roadmap: the ITRS 2009 interconnect chapter, ITRS 2.0 (2015), and IRDS 2022 [1]–[3], which together track the transition from planar 45 nm wiring to barrier-dominated sub-10 nm wiring. The physical origin of Cu's resistivity increase at these scaled dimensions was established by the classical theories of surface scattering, developed by Fuchs (1938) and Sondheimer (1952), and of grain-boundary scattering, developed by Mayadas and Shatzkes (1970); these remain the basis of essentially all subsequent Cu interconnect resistivity models. Smith et al. [4] revisited both theories for wide, sub-14 nm Cu lines and showed experimentally that the simplified linear form of the Fuchs–Sondheimer expression, commonly used in older VLSI papers, breaks down once wire dimensions approach the Cu mean free path (≈39 nm), and proposed use of the full Fuchs–Sondheimer integral together with a negative specularity parameter (p ≈ –0.2) for accurate prediction below 14 nm. Camacho and Oliva [5] independently combined the Fuchs–Sondheimer integral and Mayadas–Shatzkes grain-boundary term into a single unified resistivity expression while surveying epitaxial metals as potential Cu replacements. Saligram et al. [6] extended this resistivity-modelling approach specifically to the 7 nm node, comparing scaled Cu against ruthenium and confirming that, once the TaN/Ta diffusion barrier is accounted for, effective Cu resistivity can exceed twenty times its bulk value. These three works collectively form the basis of the Cu resistivity model adopted in this project.</w:t>
      </w:r>
    </w:p>
    <w:p>
      <w:pPr>
        <w:pStyle w:val="Heading2"/>
      </w:pPr>
      <w:r>
        <w:t>2.2 Capacitance Modelling of On-Chip Interconnects</w:t>
      </w:r>
    </w:p>
    <w:p>
      <w:r>
        <w:t>Interconnect capacitance is dominated by both the parallel-plate component between a wire and its reference plane and the fringing-field component to neighbouring structures. Sakurai and Tamaru [7] derived closed-form two- and three-dimensional capacitance expressions for a single wire over a ground plane that remain widely used for their computational simplicity. Later VLSI interconnect papers, including the comparative Cu–CNT study of Li et al. [8], adopted an extended three-term variant of this formula with ITRS-fitted exponents to better capture fringing capacitance to adjacent lines as a function of wire spacing; this extended form, rather than the original two-term 1983 expression, is the version used for the Cu capacitance calculations in this project, consistent with its established use in the comparative-interconnect literature.</w:t>
      </w:r>
    </w:p>
    <w:p>
      <w:pPr>
        <w:pStyle w:val="Heading2"/>
      </w:pPr>
      <w:r>
        <w:t>2.3 Carbon Nanotubes as an Interconnect Material</w:t>
      </w:r>
    </w:p>
    <w:p>
      <w:r>
        <w:t>A single-walled carbon nanotube can be either metallic or semiconducting depending on its chirality, with roughly one-third of tubes produced by conventional (unsorted) synthesis being metallic. A metallic SWCNT supports four conducting channels and exhibits ballistic transport over lengths shorter than its electron mean free path, but is limited by a fixed quantum (contact) resistance of h/4e² ≈ 6.45 kΩ regardless of length, plus an additional imperfect metal–CNT contact resistance that can range from roughly 3.2 kΩ for best-case palladium contacts to 100 kΩ for poor contacts. Park et al. [9] experimentally characterised electron–phonon scattering in metallic SWCNTs and reported acoustic- and optical-phonon mean free paths of approximately 400 nm (scaling as 1/T) and 56 nm respectively at room temperature — values that combine, via Matthiessen's rule, into an effective scattering mean free path used to model length-dependent CNT resistance. Srivastava et al. [10] provided the first complete three-dimensional treatment of SWCNT bundle capacitance, introducing the quantum capacitance — arising from the finite density of states at the Fermi level in a 1-D conductor — alongside the classical electrostatic capacitance to ground. Naeemi and Meindl [11] developed a comprehensive performance model for both single- and multi-wall CNT interconnects that, in addition to resistance and capacitance, incorporated the kinetic inductance associated with electron inertia in 1-D conduction channels — a component with no analogue in bulk metal wires, and one that this project's results show becomes the dominant inductance term in CNT bundles at scaled nodes. Building on these foundations, Majumder et al. [12] presented a more recent and more complete SWCNT bundle model, combining temperature-dependent acoustic- and optical-phonon scattering into a single effective mean free path and updating the quantum and electrostatic capacitance expressions for ITRS/IRDS node-wise geometries; this model is adopted as the primary CNT model for this project.</w:t>
      </w:r>
    </w:p>
    <w:p>
      <w:pPr>
        <w:pStyle w:val="Heading2"/>
      </w:pPr>
      <w:r>
        <w:t>2.4 Comparative Cu–CNT Interconnect Studies</w:t>
      </w:r>
    </w:p>
    <w:p>
      <w:r>
        <w:t>Several studies have directly compared Cu and CNT interconnect performance. Naeemi et al. [13] performed one of the earliest such comparisons for gigascale integration and showed that CNT bundles could outperform Cu in delay at longer interconnect lengths, provided a sufficiently high density of metallic tubes and low contact resistance could be achieved. Srivastava and Banerjee [14] similarly analysed CNT interconnect performance for VLSI applications and highlighted the sensitivity of the comparison to bundle density and contact quality. Li et al. [8] modelled both Cu and CNT interconnects at the 45 nm node using a common RLC framework and reported that CNT bundles became competitive with Cu primarily for longer, global-tier wires. More recently, Parihar and Sharma [15] compared a mixed CNT bundle against Cu at the 32 nm node using the Neumann inductance formulation adopted here, and used the energy-delay product (EDP) as the principal figure of merit, finding that CNT bundles could achieve a lower EDP than Cu for interconnects longer than roughly 200 μm at 22 nm and below — even though this advantage does not always translate into a strict resistance improvement at every node. Taken together, these studies establish that the Cu–CNT comparison is highly sensitive to three parameters that vary widely across the literature: the metallic tube fraction Fm (from ≈1/3 for unsorted synthesis up to nearly 1.0 for sorted or aligned tubes), the metal–CNT contact resistance (3.2–100 kΩ), and the interconnect length under consideration.</w:t>
      </w:r>
    </w:p>
    <w:p>
      <w:pPr>
        <w:pStyle w:val="Heading2"/>
      </w:pPr>
      <w:r>
        <w:t>2.5 Research Gap and Problem Statement</w:t>
      </w:r>
    </w:p>
    <w:p>
      <w:r>
        <w:t>Most existing comparative studies were published before the experimentally validated sub-14 nm Cu resistivity model of Smith et al. [4] and the updated phonon-scattering-based CNT bundle model of Majumder et al. [12] became available, and few, if any, apply a single self-consistent RLC framework across the specific 45 nm, 14 nm, and 7 nm node range together with the 100 μm, 500 μm, and 1000 μm length range that spans local, intermediate, and global on-chip wiring tiers. This project addresses that gap by combining the latest validated Cu and CNT analytical models within one consistent set of ITRS/IRDS-derived geometric assumptions, enabling a direct, up-to-date, node-by-node and length-by-length comparison between the two interconnect technologies.</w:t>
      </w:r>
    </w:p>
    <w:p>
      <w:pPr>
        <w:pStyle w:val="Heading1"/>
      </w:pPr>
      <w:r>
        <w:t>References</w:t>
      </w:r>
    </w:p>
    <w:p>
      <w:pPr>
        <w:pStyle w:val="ListNumber"/>
      </w:pPr>
      <w:r>
        <w:t>International Technology Roadmap for Semiconductors (ITRS), 2009 Edition \u2014 Interconnect Chapter.</w:t>
      </w:r>
    </w:p>
    <w:p>
      <w:pPr>
        <w:pStyle w:val="ListNumber"/>
      </w:pPr>
      <w:r>
        <w:t>International Technology Roadmap for Semiconductors 2.0 (ITRS 2.0), 2015 Edition \u2014 Interconnect Chapter.</w:t>
      </w:r>
    </w:p>
    <w:p>
      <w:pPr>
        <w:pStyle w:val="ListNumber"/>
      </w:pPr>
      <w:r>
        <w:t>IEEE International Roadmap for Devices and Systems (IRDS), 2022 Edition \u2014 More Moore Chapter.</w:t>
      </w:r>
    </w:p>
    <w:p>
      <w:pPr>
        <w:pStyle w:val="ListNumber"/>
      </w:pPr>
      <w:r>
        <w:t>R. S. Smith, E. T. Ryan, C.-K. Hu, et al., \u201cAn evaluation of Fuchs-Sondheimer and Mayadas-Shatzkes models below 14 nm node wide lines,\u201d AIP Advances, vol. 9, no. 2, p. 025015, 2019.</w:t>
      </w:r>
    </w:p>
    <w:p>
      <w:pPr>
        <w:pStyle w:val="ListNumber"/>
      </w:pPr>
      <w:r>
        <w:t>J. M. Camacho and A. I. Oliva, \u201cEpitaxial metals for interconnects beyond Cu,\u201d arXiv:2004.00971, 2020.</w:t>
      </w:r>
    </w:p>
    <w:p>
      <w:pPr>
        <w:pStyle w:val="ListNumber"/>
      </w:pPr>
      <w:r>
        <w:t>R. Saligram et al., \u201cResistivity Modeling of Scaled Cu and Ru Interconnects for Advanced VLSI Nodes,\u201d IEEE Transactions on Circuits and Systems I, 2022.</w:t>
      </w:r>
    </w:p>
    <w:p>
      <w:pPr>
        <w:pStyle w:val="ListNumber"/>
      </w:pPr>
      <w:r>
        <w:t>T. Sakurai and K. Tamaru, \u201cSimple formulas for two- and three-dimensional capacitances,\u201d IEEE Transactions on Electron Devices, vol. 30, no. 2, pp. 183\u2013185, 1983.</w:t>
      </w:r>
    </w:p>
    <w:p>
      <w:pPr>
        <w:pStyle w:val="ListNumber"/>
      </w:pPr>
      <w:r>
        <w:t>H. Li et al., \u201cModeling of Carbon Nanotube Interconnects and Comparative Analysis with Cu Interconnects,\u201d in Proc. Asia-Pacific Microwave Conference (APMC), 2006.</w:t>
      </w:r>
    </w:p>
    <w:p>
      <w:pPr>
        <w:pStyle w:val="ListNumber"/>
      </w:pPr>
      <w:r>
        <w:t>N. Srivastava et al., \u201cCarbon Interconnects: Implications for Performance, Power Dissipation and Thermal Management,\u201d in Proc. IEEE Custom Integrated Circuits Conference (CICC), 2005.</w:t>
      </w:r>
    </w:p>
    <w:p>
      <w:pPr>
        <w:pStyle w:val="ListNumber"/>
      </w:pPr>
      <w:r>
        <w:t>J. Y. Park et al., \u201cElectron-phonon scattering in metallic single-walled carbon nanotubes,\u201d Nano Letters, vol. 4, no. 3, pp. 517\u2013520, 2004.</w:t>
      </w:r>
    </w:p>
    <w:p>
      <w:pPr>
        <w:pStyle w:val="ListNumber"/>
      </w:pPr>
      <w:r>
        <w:t>A. Naeemi and J. D. Meindl, \u201cPerformance Modeling for Single- and Multiwall Carbon Nanotubes as Signal and Power Interconnects in Gigascale Systems,\u201d IEEE Transactions on Electron Devices, vol. 55, no. 10, pp. 2574\u20132582, 2008.</w:t>
      </w:r>
    </w:p>
    <w:p>
      <w:pPr>
        <w:pStyle w:val="ListNumber"/>
      </w:pPr>
      <w:r>
        <w:t>M. K. Majumder et al., \u201cA Theoretical Modeling of Adaptive Mixed CNT Bundles for High-Speed VLSI Interconnect Design,\u201d Crystals (MDPI), vol. 12, no. 2, p. 186, 2022.</w:t>
      </w:r>
    </w:p>
    <w:p>
      <w:pPr>
        <w:pStyle w:val="ListNumber"/>
      </w:pPr>
      <w:r>
        <w:t>A. Naeemi et al., \u201cPerformance comparison between carbon nanotube and copper interconnects for GSI,\u201d IEEE Electron Device Letters, vol. 26, no. 2, pp. 84\u201386, 2005.</w:t>
      </w:r>
    </w:p>
    <w:p>
      <w:pPr>
        <w:pStyle w:val="ListNumber"/>
      </w:pPr>
      <w:r>
        <w:t>N. Srivastava and K. Banerjee, \u201cPerformance analysis of carbon nanotube interconnects for VLSI applications,\u201d in Proc. IEEE/ACM International Conference on Computer-Aided Design (ICCAD), 2005.</w:t>
      </w:r>
    </w:p>
    <w:p>
      <w:pPr>
        <w:pStyle w:val="ListNumber"/>
      </w:pPr>
      <w:r>
        <w:t>T. Parihar and A. Sharma, \u201cA comparative study of Mixed CNT bundle with Copper for VLSI Interconnect at 32nm,\u201d International Journal of Engineering Trends and Technology (IJETT), vol. 4, no. 4, 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