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left"/>
      </w:pPr>
      <w:r>
        <w:t xml:space="preserve">Results and Discussion</w:t>
      </w:r>
    </w:p>
    <w:p>
      <w:pPr>
        <w:spacing w:after="300"/>
      </w:pPr>
      <w:r>
        <w:rPr>
          <w:i/>
          <w:iCs/>
          <w:color w:val="444444"/>
          <w:sz w:val="22"/>
          <w:szCs w:val="22"/>
        </w:rPr>
        <w:t xml:space="preserve">Copper vs. Single-Walled Carbon Nanotube (SWCNT) Bundle Interconnects at the 45 nm, 22 nm, 14 nm, and 7 nm Technology Nodes</w:t>
      </w:r>
    </w:p>
    <w:p>
      <w:pPr>
        <w:pStyle w:val="Heading2"/>
        <w:spacing w:after="140" w:before="320"/>
      </w:pPr>
      <w:r>
        <w:t xml:space="preserve">1. Technology Node Geometry and Copper Resistivity Scaling</w:t>
      </w:r>
    </w:p>
    <w:p>
      <w:pPr>
        <w:spacing w:after="160" w:line="300"/>
      </w:pPr>
      <w:r>
        <w:rPr>
          <w:i w:val="false"/>
          <w:iCs w:val="false"/>
          <w:sz w:val="22"/>
          <w:szCs w:val="22"/>
        </w:rPr>
        <w:t xml:space="preserve">Four technology nodes — 45 nm, 22 nm, 14 nm, and 7 nm — were evaluated, each with its own copper wire cross-section and carbon-nanotube bundle geometry (Table 1). Because a diffusion barrier of fixed thickness must be reserved on every sidewall of the copper trench, the effective conducting cross-section shrinks faster than the drawn wire dimensions: at 7 nm only 5 nm of width remains available for current flow, versus 38 nm at 45 nm. The SWCNT bundle experiences an analogous effect — the number of tubes that physically fit in the same footprint, and the number of those that are metallic (roughly one in three), falls from 299 metallic tubes at 45 nm to just 24 at 7 nm.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80"/>
        <w:gridCol w:w="1080"/>
        <w:gridCol w:w="1400"/>
        <w:gridCol w:w="1400"/>
        <w:gridCol w:w="1600"/>
        <w:gridCol w:w="1600"/>
      </w:tblGrid>
      <w:tr>
        <w:trPr>
          <w:tblHeader/>
        </w:trPr>
        <w:tc>
          <w:tcPr>
            <w:tcW w:type="dxa" w:w="1200"/>
            <w:shd w:fill="DCE6F1" w:color="auto" w:val="clear"/>
            <w:tcMar>
              <w:top w:type="dxa" w:w="60"/>
              <w:left w:type="dxa" w:w="100"/>
              <w:bottom w:type="dxa" w:w="60"/>
              <w:right w:type="dxa" w:w="100"/>
            </w:tcMar>
            <w:vAlign w:val="center"/>
          </w:tcPr>
          <w:p>
            <w:pPr>
              <w:jc w:val="center"/>
            </w:pPr>
            <w:r>
              <w:rPr>
                <w:b/>
                <w:bCs/>
                <w:color w:val="1F4E79"/>
                <w:sz w:val="19"/>
                <w:szCs w:val="19"/>
              </w:rPr>
              <w:t xml:space="preserve">Node</w:t>
            </w:r>
          </w:p>
        </w:tc>
        <w:tc>
          <w:tcPr>
            <w:tcW w:type="dxa" w:w="1080"/>
            <w:shd w:fill="DCE6F1" w:color="auto" w:val="clear"/>
            <w:tcMar>
              <w:top w:type="dxa" w:w="60"/>
              <w:left w:type="dxa" w:w="100"/>
              <w:bottom w:type="dxa" w:w="60"/>
              <w:right w:type="dxa" w:w="100"/>
            </w:tcMar>
            <w:vAlign w:val="center"/>
          </w:tcPr>
          <w:p>
            <w:pPr>
              <w:jc w:val="center"/>
            </w:pPr>
            <w:r>
              <w:rPr>
                <w:b/>
                <w:bCs/>
                <w:color w:val="1F4E79"/>
                <w:sz w:val="19"/>
                <w:szCs w:val="19"/>
              </w:rPr>
              <w:t xml:space="preserve">W (nm)</w:t>
            </w:r>
          </w:p>
        </w:tc>
        <w:tc>
          <w:tcPr>
            <w:tcW w:type="dxa" w:w="1080"/>
            <w:shd w:fill="DCE6F1" w:color="auto" w:val="clear"/>
            <w:tcMar>
              <w:top w:type="dxa" w:w="60"/>
              <w:left w:type="dxa" w:w="100"/>
              <w:bottom w:type="dxa" w:w="60"/>
              <w:right w:type="dxa" w:w="100"/>
            </w:tcMar>
            <w:vAlign w:val="center"/>
          </w:tcPr>
          <w:p>
            <w:pPr>
              <w:jc w:val="center"/>
            </w:pPr>
            <w:r>
              <w:rPr>
                <w:b/>
                <w:bCs/>
                <w:color w:val="1F4E79"/>
                <w:sz w:val="19"/>
                <w:szCs w:val="19"/>
              </w:rPr>
              <w:t xml:space="preserve">H (nm)</w:t>
            </w:r>
          </w:p>
        </w:tc>
        <w:tc>
          <w:tcPr>
            <w:tcW w:type="dxa" w:w="1400"/>
            <w:shd w:fill="DCE6F1" w:color="auto" w:val="clear"/>
            <w:tcMar>
              <w:top w:type="dxa" w:w="60"/>
              <w:left w:type="dxa" w:w="100"/>
              <w:bottom w:type="dxa" w:w="60"/>
              <w:right w:type="dxa" w:w="100"/>
            </w:tcMar>
            <w:vAlign w:val="center"/>
          </w:tcPr>
          <w:p>
            <w:pPr>
              <w:jc w:val="center"/>
            </w:pPr>
            <w:r>
              <w:rPr>
                <w:b/>
                <w:bCs/>
                <w:color w:val="1F4E79"/>
                <w:sz w:val="19"/>
                <w:szCs w:val="19"/>
              </w:rPr>
              <w:t xml:space="preserve">W_eff,Cu (nm)</w:t>
            </w:r>
          </w:p>
        </w:tc>
        <w:tc>
          <w:tcPr>
            <w:tcW w:type="dxa" w:w="1400"/>
            <w:shd w:fill="DCE6F1" w:color="auto" w:val="clear"/>
            <w:tcMar>
              <w:top w:type="dxa" w:w="60"/>
              <w:left w:type="dxa" w:w="100"/>
              <w:bottom w:type="dxa" w:w="60"/>
              <w:right w:type="dxa" w:w="100"/>
            </w:tcMar>
            <w:vAlign w:val="center"/>
          </w:tcPr>
          <w:p>
            <w:pPr>
              <w:jc w:val="center"/>
            </w:pPr>
            <w:r>
              <w:rPr>
                <w:b/>
                <w:bCs/>
                <w:color w:val="1F4E79"/>
                <w:sz w:val="19"/>
                <w:szCs w:val="19"/>
              </w:rPr>
              <w:t xml:space="preserve">H_eff,Cu (nm)</w:t>
            </w:r>
          </w:p>
        </w:tc>
        <w:tc>
          <w:tcPr>
            <w:tcW w:type="dxa" w:w="1600"/>
            <w:shd w:fill="DCE6F1" w:color="auto" w:val="clear"/>
            <w:tcMar>
              <w:top w:type="dxa" w:w="60"/>
              <w:left w:type="dxa" w:w="100"/>
              <w:bottom w:type="dxa" w:w="60"/>
              <w:right w:type="dxa" w:w="100"/>
            </w:tcMar>
            <w:vAlign w:val="center"/>
          </w:tcPr>
          <w:p>
            <w:pPr>
              <w:jc w:val="center"/>
            </w:pPr>
            <w:r>
              <w:rPr>
                <w:b/>
                <w:bCs/>
                <w:color w:val="1F4E79"/>
                <w:sz w:val="19"/>
                <w:szCs w:val="19"/>
              </w:rPr>
              <w:t xml:space="preserve">N_total (CNT)</w:t>
            </w:r>
          </w:p>
        </w:tc>
        <w:tc>
          <w:tcPr>
            <w:tcW w:type="dxa" w:w="1600"/>
            <w:shd w:fill="DCE6F1" w:color="auto" w:val="clear"/>
            <w:tcMar>
              <w:top w:type="dxa" w:w="60"/>
              <w:left w:type="dxa" w:w="100"/>
              <w:bottom w:type="dxa" w:w="60"/>
              <w:right w:type="dxa" w:w="100"/>
            </w:tcMar>
            <w:vAlign w:val="center"/>
          </w:tcPr>
          <w:p>
            <w:pPr>
              <w:jc w:val="center"/>
            </w:pPr>
            <w:r>
              <w:rPr>
                <w:b/>
                <w:bCs/>
                <w:color w:val="1F4E79"/>
                <w:sz w:val="19"/>
                <w:szCs w:val="19"/>
              </w:rPr>
              <w:t xml:space="preserve">N_metallic (CNT)</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45 nm</w:t>
            </w:r>
          </w:p>
        </w:tc>
        <w:tc>
          <w:tcPr>
            <w:tcW w:type="dxa" w:w="1080"/>
            <w:tcMar>
              <w:top w:type="dxa" w:w="50"/>
              <w:left w:type="dxa" w:w="100"/>
              <w:bottom w:type="dxa" w:w="50"/>
              <w:right w:type="dxa" w:w="100"/>
            </w:tcMar>
            <w:vAlign w:val="center"/>
          </w:tcPr>
          <w:p>
            <w:pPr>
              <w:jc w:val="center"/>
            </w:pPr>
            <w:r>
              <w:rPr>
                <w:b w:val="false"/>
                <w:bCs w:val="false"/>
                <w:sz w:val="19"/>
                <w:szCs w:val="19"/>
              </w:rPr>
              <w:t xml:space="preserve">45</w:t>
            </w:r>
          </w:p>
        </w:tc>
        <w:tc>
          <w:tcPr>
            <w:tcW w:type="dxa" w:w="1080"/>
            <w:tcMar>
              <w:top w:type="dxa" w:w="50"/>
              <w:left w:type="dxa" w:w="100"/>
              <w:bottom w:type="dxa" w:w="50"/>
              <w:right w:type="dxa" w:w="100"/>
            </w:tcMar>
            <w:vAlign w:val="center"/>
          </w:tcPr>
          <w:p>
            <w:pPr>
              <w:jc w:val="center"/>
            </w:pPr>
            <w:r>
              <w:rPr>
                <w:b w:val="false"/>
                <w:bCs w:val="false"/>
                <w:sz w:val="19"/>
                <w:szCs w:val="19"/>
              </w:rPr>
              <w:t xml:space="preserve">90</w:t>
            </w:r>
          </w:p>
        </w:tc>
        <w:tc>
          <w:tcPr>
            <w:tcW w:type="dxa" w:w="1400"/>
            <w:tcMar>
              <w:top w:type="dxa" w:w="50"/>
              <w:left w:type="dxa" w:w="100"/>
              <w:bottom w:type="dxa" w:w="50"/>
              <w:right w:type="dxa" w:w="100"/>
            </w:tcMar>
            <w:vAlign w:val="center"/>
          </w:tcPr>
          <w:p>
            <w:pPr>
              <w:jc w:val="center"/>
            </w:pPr>
            <w:r>
              <w:rPr>
                <w:b w:val="false"/>
                <w:bCs w:val="false"/>
                <w:sz w:val="19"/>
                <w:szCs w:val="19"/>
              </w:rPr>
              <w:t xml:space="preserve">38</w:t>
            </w:r>
          </w:p>
        </w:tc>
        <w:tc>
          <w:tcPr>
            <w:tcW w:type="dxa" w:w="1400"/>
            <w:tcMar>
              <w:top w:type="dxa" w:w="50"/>
              <w:left w:type="dxa" w:w="100"/>
              <w:bottom w:type="dxa" w:w="50"/>
              <w:right w:type="dxa" w:w="100"/>
            </w:tcMar>
            <w:vAlign w:val="center"/>
          </w:tcPr>
          <w:p>
            <w:pPr>
              <w:jc w:val="center"/>
            </w:pPr>
            <w:r>
              <w:rPr>
                <w:b w:val="false"/>
                <w:bCs w:val="false"/>
                <w:sz w:val="19"/>
                <w:szCs w:val="19"/>
              </w:rPr>
              <w:t xml:space="preserve">73</w:t>
            </w:r>
          </w:p>
        </w:tc>
        <w:tc>
          <w:tcPr>
            <w:tcW w:type="dxa" w:w="1600"/>
            <w:tcMar>
              <w:top w:type="dxa" w:w="50"/>
              <w:left w:type="dxa" w:w="100"/>
              <w:bottom w:type="dxa" w:w="50"/>
              <w:right w:type="dxa" w:w="100"/>
            </w:tcMar>
            <w:vAlign w:val="center"/>
          </w:tcPr>
          <w:p>
            <w:pPr>
              <w:jc w:val="center"/>
            </w:pPr>
            <w:r>
              <w:rPr>
                <w:b w:val="false"/>
                <w:bCs w:val="false"/>
                <w:sz w:val="19"/>
                <w:szCs w:val="19"/>
              </w:rPr>
              <w:t xml:space="preserve">897</w:t>
            </w:r>
          </w:p>
        </w:tc>
        <w:tc>
          <w:tcPr>
            <w:tcW w:type="dxa" w:w="1600"/>
            <w:tcMar>
              <w:top w:type="dxa" w:w="50"/>
              <w:left w:type="dxa" w:w="100"/>
              <w:bottom w:type="dxa" w:w="50"/>
              <w:right w:type="dxa" w:w="100"/>
            </w:tcMar>
            <w:vAlign w:val="center"/>
          </w:tcPr>
          <w:p>
            <w:pPr>
              <w:jc w:val="center"/>
            </w:pPr>
            <w:r>
              <w:rPr>
                <w:b w:val="false"/>
                <w:bCs w:val="false"/>
                <w:sz w:val="19"/>
                <w:szCs w:val="19"/>
              </w:rPr>
              <w:t xml:space="preserve">299</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22 nm</w:t>
            </w:r>
          </w:p>
        </w:tc>
        <w:tc>
          <w:tcPr>
            <w:tcW w:type="dxa" w:w="1080"/>
            <w:tcMar>
              <w:top w:type="dxa" w:w="50"/>
              <w:left w:type="dxa" w:w="100"/>
              <w:bottom w:type="dxa" w:w="50"/>
              <w:right w:type="dxa" w:w="100"/>
            </w:tcMar>
            <w:vAlign w:val="center"/>
          </w:tcPr>
          <w:p>
            <w:pPr>
              <w:jc w:val="center"/>
            </w:pPr>
            <w:r>
              <w:rPr>
                <w:b w:val="false"/>
                <w:bCs w:val="false"/>
                <w:sz w:val="19"/>
                <w:szCs w:val="19"/>
              </w:rPr>
              <w:t xml:space="preserve">22</w:t>
            </w:r>
          </w:p>
        </w:tc>
        <w:tc>
          <w:tcPr>
            <w:tcW w:type="dxa" w:w="1080"/>
            <w:tcMar>
              <w:top w:type="dxa" w:w="50"/>
              <w:left w:type="dxa" w:w="100"/>
              <w:bottom w:type="dxa" w:w="50"/>
              <w:right w:type="dxa" w:w="100"/>
            </w:tcMar>
            <w:vAlign w:val="center"/>
          </w:tcPr>
          <w:p>
            <w:pPr>
              <w:jc w:val="center"/>
            </w:pPr>
            <w:r>
              <w:rPr>
                <w:b w:val="false"/>
                <w:bCs w:val="false"/>
                <w:sz w:val="19"/>
                <w:szCs w:val="19"/>
              </w:rPr>
              <w:t xml:space="preserve">45</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18</w:t>
            </w:r>
          </w:p>
        </w:tc>
        <w:tc>
          <w:tcPr>
            <w:tcW w:type="dxa" w:w="1400"/>
            <w:tcMar>
              <w:top w:type="dxa" w:w="50"/>
              <w:left w:type="dxa" w:w="100"/>
              <w:bottom w:type="dxa" w:w="50"/>
              <w:right w:type="dxa" w:w="100"/>
            </w:tcMar>
            <w:vAlign w:val="center"/>
          </w:tcPr>
          <w:p>
            <w:pPr>
              <w:jc w:val="center"/>
            </w:pPr>
            <w:r>
              <w:rPr>
                <w:b w:val="false"/>
                <w:bCs w:val="false"/>
                <w:sz w:val="19"/>
                <w:szCs w:val="19"/>
              </w:rPr>
              <w:t xml:space="preserve">37.6</w:t>
            </w:r>
          </w:p>
        </w:tc>
        <w:tc>
          <w:tcPr>
            <w:tcW w:type="dxa" w:w="1600"/>
            <w:tcMar>
              <w:top w:type="dxa" w:w="50"/>
              <w:left w:type="dxa" w:w="100"/>
              <w:bottom w:type="dxa" w:w="50"/>
              <w:right w:type="dxa" w:w="100"/>
            </w:tcMar>
            <w:vAlign w:val="center"/>
          </w:tcPr>
          <w:p>
            <w:pPr>
              <w:jc w:val="center"/>
            </w:pPr>
            <w:r>
              <w:rPr>
                <w:b w:val="false"/>
                <w:bCs w:val="false"/>
                <w:sz w:val="19"/>
                <w:szCs w:val="19"/>
              </w:rPr>
              <w:t xml:space="preserve">350</w:t>
            </w:r>
          </w:p>
        </w:tc>
        <w:tc>
          <w:tcPr>
            <w:tcW w:type="dxa" w:w="1600"/>
            <w:tcMar>
              <w:top w:type="dxa" w:w="50"/>
              <w:left w:type="dxa" w:w="100"/>
              <w:bottom w:type="dxa" w:w="50"/>
              <w:right w:type="dxa" w:w="100"/>
            </w:tcMar>
            <w:vAlign w:val="center"/>
          </w:tcPr>
          <w:p>
            <w:pPr>
              <w:jc w:val="center"/>
            </w:pPr>
            <w:r>
              <w:rPr>
                <w:b w:val="false"/>
                <w:bCs w:val="false"/>
                <w:sz w:val="19"/>
                <w:szCs w:val="19"/>
              </w:rPr>
              <w:t xml:space="preserve">117</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14 nm</w:t>
            </w:r>
          </w:p>
        </w:tc>
        <w:tc>
          <w:tcPr>
            <w:tcW w:type="dxa" w:w="1080"/>
            <w:tcMar>
              <w:top w:type="dxa" w:w="50"/>
              <w:left w:type="dxa" w:w="100"/>
              <w:bottom w:type="dxa" w:w="50"/>
              <w:right w:type="dxa" w:w="100"/>
            </w:tcMar>
            <w:vAlign w:val="center"/>
          </w:tcPr>
          <w:p>
            <w:pPr>
              <w:jc w:val="center"/>
            </w:pPr>
            <w:r>
              <w:rPr>
                <w:b w:val="false"/>
                <w:bCs w:val="false"/>
                <w:sz w:val="19"/>
                <w:szCs w:val="19"/>
              </w:rPr>
              <w:t xml:space="preserve">14</w:t>
            </w:r>
          </w:p>
        </w:tc>
        <w:tc>
          <w:tcPr>
            <w:tcW w:type="dxa" w:w="1080"/>
            <w:tcMar>
              <w:top w:type="dxa" w:w="50"/>
              <w:left w:type="dxa" w:w="100"/>
              <w:bottom w:type="dxa" w:w="50"/>
              <w:right w:type="dxa" w:w="100"/>
            </w:tcMar>
            <w:vAlign w:val="center"/>
          </w:tcPr>
          <w:p>
            <w:pPr>
              <w:jc w:val="center"/>
            </w:pPr>
            <w:r>
              <w:rPr>
                <w:b w:val="false"/>
                <w:bCs w:val="false"/>
                <w:sz w:val="19"/>
                <w:szCs w:val="19"/>
              </w:rPr>
              <w:t xml:space="preserve">28</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11</w:t>
            </w:r>
          </w:p>
        </w:tc>
        <w:tc>
          <w:tcPr>
            <w:tcW w:type="dxa" w:w="1400"/>
            <w:tcMar>
              <w:top w:type="dxa" w:w="50"/>
              <w:left w:type="dxa" w:w="100"/>
              <w:bottom w:type="dxa" w:w="50"/>
              <w:right w:type="dxa" w:w="100"/>
            </w:tcMar>
            <w:vAlign w:val="center"/>
          </w:tcPr>
          <w:p>
            <w:pPr>
              <w:jc w:val="center"/>
            </w:pPr>
            <w:r>
              <w:rPr>
                <w:b w:val="false"/>
                <w:bCs w:val="false"/>
                <w:sz w:val="19"/>
                <w:szCs w:val="19"/>
              </w:rPr>
              <w:t xml:space="preserve">25.1</w:t>
            </w:r>
          </w:p>
        </w:tc>
        <w:tc>
          <w:tcPr>
            <w:tcW w:type="dxa" w:w="1600"/>
            <w:tcMar>
              <w:top w:type="dxa" w:w="50"/>
              <w:left w:type="dxa" w:w="100"/>
              <w:bottom w:type="dxa" w:w="50"/>
              <w:right w:type="dxa" w:w="100"/>
            </w:tcMar>
            <w:vAlign w:val="center"/>
          </w:tcPr>
          <w:p>
            <w:pPr>
              <w:jc w:val="center"/>
            </w:pPr>
            <w:r>
              <w:rPr>
                <w:b w:val="false"/>
                <w:bCs w:val="false"/>
                <w:sz w:val="19"/>
                <w:szCs w:val="19"/>
              </w:rPr>
              <w:t xml:space="preserve">190</w:t>
            </w:r>
          </w:p>
        </w:tc>
        <w:tc>
          <w:tcPr>
            <w:tcW w:type="dxa" w:w="1600"/>
            <w:tcMar>
              <w:top w:type="dxa" w:w="50"/>
              <w:left w:type="dxa" w:w="100"/>
              <w:bottom w:type="dxa" w:w="50"/>
              <w:right w:type="dxa" w:w="100"/>
            </w:tcMar>
            <w:vAlign w:val="center"/>
          </w:tcPr>
          <w:p>
            <w:pPr>
              <w:jc w:val="center"/>
            </w:pPr>
            <w:r>
              <w:rPr>
                <w:b w:val="false"/>
                <w:bCs w:val="false"/>
                <w:sz w:val="19"/>
                <w:szCs w:val="19"/>
              </w:rPr>
              <w:t xml:space="preserve">63</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7 nm</w:t>
            </w:r>
          </w:p>
        </w:tc>
        <w:tc>
          <w:tcPr>
            <w:tcW w:type="dxa" w:w="1080"/>
            <w:tcMar>
              <w:top w:type="dxa" w:w="50"/>
              <w:left w:type="dxa" w:w="100"/>
              <w:bottom w:type="dxa" w:w="50"/>
              <w:right w:type="dxa" w:w="100"/>
            </w:tcMar>
            <w:vAlign w:val="center"/>
          </w:tcPr>
          <w:p>
            <w:pPr>
              <w:jc w:val="center"/>
            </w:pPr>
            <w:r>
              <w:rPr>
                <w:b w:val="false"/>
                <w:bCs w:val="false"/>
                <w:sz w:val="19"/>
                <w:szCs w:val="19"/>
              </w:rPr>
              <w:t xml:space="preserve">7</w:t>
            </w:r>
          </w:p>
        </w:tc>
        <w:tc>
          <w:tcPr>
            <w:tcW w:type="dxa" w:w="1080"/>
            <w:tcMar>
              <w:top w:type="dxa" w:w="50"/>
              <w:left w:type="dxa" w:w="100"/>
              <w:bottom w:type="dxa" w:w="50"/>
              <w:right w:type="dxa" w:w="100"/>
            </w:tcMar>
            <w:vAlign w:val="center"/>
          </w:tcPr>
          <w:p>
            <w:pPr>
              <w:jc w:val="center"/>
            </w:pPr>
            <w:r>
              <w:rPr>
                <w:b w:val="false"/>
                <w:bCs w:val="false"/>
                <w:sz w:val="19"/>
                <w:szCs w:val="19"/>
              </w:rPr>
              <w:t xml:space="preserve">14</w:t>
            </w:r>
          </w:p>
        </w:tc>
        <w:tc>
          <w:tcPr>
            <w:tcW w:type="dxa" w:w="1400"/>
            <w:tcMar>
              <w:top w:type="dxa" w:w="50"/>
              <w:left w:type="dxa" w:w="100"/>
              <w:bottom w:type="dxa" w:w="50"/>
              <w:right w:type="dxa" w:w="100"/>
            </w:tcMar>
            <w:vAlign w:val="center"/>
          </w:tcPr>
          <w:p>
            <w:pPr>
              <w:jc w:val="center"/>
            </w:pPr>
            <w:r>
              <w:rPr>
                <w:b w:val="false"/>
                <w:bCs w:val="false"/>
                <w:sz w:val="19"/>
                <w:szCs w:val="19"/>
              </w:rPr>
              <w:t xml:space="preserve">5</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13</w:t>
            </w:r>
          </w:p>
        </w:tc>
        <w:tc>
          <w:tcPr>
            <w:tcW w:type="dxa" w:w="1600"/>
            <w:tcMar>
              <w:top w:type="dxa" w:w="50"/>
              <w:left w:type="dxa" w:w="100"/>
              <w:bottom w:type="dxa" w:w="50"/>
              <w:right w:type="dxa" w:w="100"/>
            </w:tcMar>
            <w:vAlign w:val="center"/>
          </w:tcPr>
          <w:p>
            <w:pPr>
              <w:jc w:val="center"/>
            </w:pPr>
            <w:r>
              <w:rPr>
                <w:b w:val="false"/>
                <w:bCs w:val="false"/>
                <w:sz w:val="19"/>
                <w:szCs w:val="19"/>
              </w:rPr>
              <w:t xml:space="preserve">72</w:t>
            </w:r>
          </w:p>
        </w:tc>
        <w:tc>
          <w:tcPr>
            <w:tcW w:type="dxa" w:w="1600"/>
            <w:tcMar>
              <w:top w:type="dxa" w:w="50"/>
              <w:left w:type="dxa" w:w="100"/>
              <w:bottom w:type="dxa" w:w="50"/>
              <w:right w:type="dxa" w:w="100"/>
            </w:tcMar>
            <w:vAlign w:val="center"/>
          </w:tcPr>
          <w:p>
            <w:pPr>
              <w:jc w:val="center"/>
            </w:pPr>
            <w:r>
              <w:rPr>
                <w:b w:val="false"/>
                <w:bCs w:val="false"/>
                <w:sz w:val="19"/>
                <w:szCs w:val="19"/>
              </w:rPr>
              <w:t xml:space="preserve">24</w:t>
            </w:r>
          </w:p>
        </w:tc>
      </w:tr>
    </w:tbl>
    <w:p>
      <w:pPr>
        <w:spacing w:after="160" w:before="60"/>
      </w:pPr>
      <w:r>
        <w:rPr>
          <w:i/>
          <w:iCs/>
          <w:color w:val="555555"/>
          <w:sz w:val="18"/>
          <w:szCs w:val="18"/>
        </w:rPr>
        <w:t xml:space="preserve">Table 1. Drawn and effective wire/bundle geometry at each technology node.</w:t>
      </w:r>
    </w:p>
    <w:p>
      <w:pPr>
        <w:spacing w:after="160" w:line="300"/>
      </w:pPr>
      <w:r>
        <w:rPr>
          <w:i w:val="false"/>
          <w:iCs w:val="false"/>
          <w:sz w:val="22"/>
          <w:szCs w:val="22"/>
        </w:rPr>
        <w:t xml:space="preserve">Copper's size-effect-corrected resistivity (ρ_eff), combining Fuchs–Sondheimer surface scattering with Mayadas–Shatzkes grain-boundary scattering, degrades sharply and non-linearly as the node shrinks (Table 2). Relative to bulk copper (1.68 μΩ·cm), ρ_eff is only 1.45× higher at 45 nm but reaches 10.02× bulk at 7 nm. The escalation roughly doubles again between 14 nm and 7 nm, reflecting the simultaneous intensification of both scattering mechanisms: the surface-scattering multiplier nearly quadruples (1.16→3.98) while the grain-boundary multiplier grows 2.5-fold (1.25→2.51) over the same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2000"/>
        <w:gridCol w:w="2160"/>
      </w:tblGrid>
      <w:tr>
        <w:trPr>
          <w:tblHeader/>
        </w:trPr>
        <w:tc>
          <w:tcPr>
            <w:tcW w:type="dxa" w:w="1400"/>
            <w:shd w:fill="DCE6F1" w:color="auto" w:val="clear"/>
            <w:tcMar>
              <w:top w:type="dxa" w:w="60"/>
              <w:left w:type="dxa" w:w="100"/>
              <w:bottom w:type="dxa" w:w="60"/>
              <w:right w:type="dxa" w:w="100"/>
            </w:tcMar>
            <w:vAlign w:val="center"/>
          </w:tcPr>
          <w:p>
            <w:pPr>
              <w:jc w:val="center"/>
            </w:pPr>
            <w:r>
              <w:rPr>
                <w:b/>
                <w:bCs/>
                <w:color w:val="1F4E79"/>
                <w:sz w:val="19"/>
                <w:szCs w:val="19"/>
              </w:rPr>
              <w:t xml:space="preserve">Node</w:t>
            </w:r>
          </w:p>
        </w:tc>
        <w:tc>
          <w:tcPr>
            <w:tcW w:type="dxa" w:w="1900"/>
            <w:shd w:fill="DCE6F1" w:color="auto" w:val="clear"/>
            <w:tcMar>
              <w:top w:type="dxa" w:w="60"/>
              <w:left w:type="dxa" w:w="100"/>
              <w:bottom w:type="dxa" w:w="60"/>
              <w:right w:type="dxa" w:w="100"/>
            </w:tcMar>
            <w:vAlign w:val="center"/>
          </w:tcPr>
          <w:p>
            <w:pPr>
              <w:jc w:val="center"/>
            </w:pPr>
            <w:r>
              <w:rPr>
                <w:b/>
                <w:bCs/>
                <w:color w:val="1F4E79"/>
                <w:sz w:val="19"/>
                <w:szCs w:val="19"/>
              </w:rPr>
              <w:t xml:space="preserve">ρ_FS Multiplier</w:t>
            </w:r>
          </w:p>
        </w:tc>
        <w:tc>
          <w:tcPr>
            <w:tcW w:type="dxa" w:w="1900"/>
            <w:shd w:fill="DCE6F1" w:color="auto" w:val="clear"/>
            <w:tcMar>
              <w:top w:type="dxa" w:w="60"/>
              <w:left w:type="dxa" w:w="100"/>
              <w:bottom w:type="dxa" w:w="60"/>
              <w:right w:type="dxa" w:w="100"/>
            </w:tcMar>
            <w:vAlign w:val="center"/>
          </w:tcPr>
          <w:p>
            <w:pPr>
              <w:jc w:val="center"/>
            </w:pPr>
            <w:r>
              <w:rPr>
                <w:b/>
                <w:bCs/>
                <w:color w:val="1F4E79"/>
                <w:sz w:val="19"/>
                <w:szCs w:val="19"/>
              </w:rPr>
              <w:t xml:space="preserve">ρ_MS Multiplier</w:t>
            </w:r>
          </w:p>
        </w:tc>
        <w:tc>
          <w:tcPr>
            <w:tcW w:type="dxa" w:w="2000"/>
            <w:shd w:fill="DCE6F1" w:color="auto" w:val="clear"/>
            <w:tcMar>
              <w:top w:type="dxa" w:w="60"/>
              <w:left w:type="dxa" w:w="100"/>
              <w:bottom w:type="dxa" w:w="60"/>
              <w:right w:type="dxa" w:w="100"/>
            </w:tcMar>
            <w:vAlign w:val="center"/>
          </w:tcPr>
          <w:p>
            <w:pPr>
              <w:jc w:val="center"/>
            </w:pPr>
            <w:r>
              <w:rPr>
                <w:b/>
                <w:bCs/>
                <w:color w:val="1F4E79"/>
                <w:sz w:val="19"/>
                <w:szCs w:val="19"/>
              </w:rPr>
              <w:t xml:space="preserve">ρ_eff (μΩ·cm)</w:t>
            </w:r>
          </w:p>
        </w:tc>
        <w:tc>
          <w:tcPr>
            <w:tcW w:type="dxa" w:w="2160"/>
            <w:shd w:fill="DCE6F1" w:color="auto" w:val="clear"/>
            <w:tcMar>
              <w:top w:type="dxa" w:w="60"/>
              <w:left w:type="dxa" w:w="100"/>
              <w:bottom w:type="dxa" w:w="60"/>
              <w:right w:type="dxa" w:w="100"/>
            </w:tcMar>
            <w:vAlign w:val="center"/>
          </w:tcPr>
          <w:p>
            <w:pPr>
              <w:jc w:val="center"/>
            </w:pPr>
            <w:r>
              <w:rPr>
                <w:b/>
                <w:bCs/>
                <w:color w:val="1F4E79"/>
                <w:sz w:val="19"/>
                <w:szCs w:val="19"/>
              </w:rPr>
              <w:t xml:space="preserve">vs. Bulk Cu (1.68 μΩ·cm)</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45 nm</w:t>
            </w:r>
          </w:p>
        </w:tc>
        <w:tc>
          <w:tcPr>
            <w:tcW w:type="dxa" w:w="1900"/>
            <w:tcMar>
              <w:top w:type="dxa" w:w="50"/>
              <w:left w:type="dxa" w:w="100"/>
              <w:bottom w:type="dxa" w:w="50"/>
              <w:right w:type="dxa" w:w="100"/>
            </w:tcMar>
            <w:vAlign w:val="center"/>
          </w:tcPr>
          <w:p>
            <w:pPr>
              <w:jc w:val="center"/>
            </w:pPr>
            <w:r>
              <w:rPr>
                <w:b w:val="false"/>
                <w:bCs w:val="false"/>
                <w:sz w:val="19"/>
                <w:szCs w:val="19"/>
              </w:rPr>
              <w:t xml:space="preserve">1.163</w:t>
            </w:r>
          </w:p>
        </w:tc>
        <w:tc>
          <w:tcPr>
            <w:tcW w:type="dxa" w:w="1900"/>
            <w:tcMar>
              <w:top w:type="dxa" w:w="50"/>
              <w:left w:type="dxa" w:w="100"/>
              <w:bottom w:type="dxa" w:w="50"/>
              <w:right w:type="dxa" w:w="100"/>
            </w:tcMar>
            <w:vAlign w:val="center"/>
          </w:tcPr>
          <w:p>
            <w:pPr>
              <w:jc w:val="center"/>
            </w:pPr>
            <w:r>
              <w:rPr>
                <w:b w:val="false"/>
                <w:bCs w:val="false"/>
                <w:sz w:val="19"/>
                <w:szCs w:val="19"/>
              </w:rPr>
              <w:t xml:space="preserve">1.247</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2.43</w:t>
            </w:r>
          </w:p>
        </w:tc>
        <w:tc>
          <w:tcPr>
            <w:tcW w:type="dxa" w:w="2160"/>
            <w:tcMar>
              <w:top w:type="dxa" w:w="50"/>
              <w:left w:type="dxa" w:w="100"/>
              <w:bottom w:type="dxa" w:w="50"/>
              <w:right w:type="dxa" w:w="100"/>
            </w:tcMar>
            <w:vAlign w:val="center"/>
          </w:tcPr>
          <w:p>
            <w:pPr>
              <w:jc w:val="center"/>
            </w:pPr>
            <w:r>
              <w:rPr>
                <w:b w:val="false"/>
                <w:bCs w:val="false"/>
                <w:sz w:val="19"/>
                <w:szCs w:val="19"/>
              </w:rPr>
              <w:t xml:space="preserve">1.45×</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22 nm</w:t>
            </w:r>
          </w:p>
        </w:tc>
        <w:tc>
          <w:tcPr>
            <w:tcW w:type="dxa" w:w="1900"/>
            <w:tcMar>
              <w:top w:type="dxa" w:w="50"/>
              <w:left w:type="dxa" w:w="100"/>
              <w:bottom w:type="dxa" w:w="50"/>
              <w:right w:type="dxa" w:w="100"/>
            </w:tcMar>
            <w:vAlign w:val="center"/>
          </w:tcPr>
          <w:p>
            <w:pPr>
              <w:jc w:val="center"/>
            </w:pPr>
            <w:r>
              <w:rPr>
                <w:b w:val="false"/>
                <w:bCs w:val="false"/>
                <w:sz w:val="19"/>
                <w:szCs w:val="19"/>
              </w:rPr>
              <w:t xml:space="preserve">1.332</w:t>
            </w:r>
          </w:p>
        </w:tc>
        <w:tc>
          <w:tcPr>
            <w:tcW w:type="dxa" w:w="1900"/>
            <w:tcMar>
              <w:top w:type="dxa" w:w="50"/>
              <w:left w:type="dxa" w:w="100"/>
              <w:bottom w:type="dxa" w:w="50"/>
              <w:right w:type="dxa" w:w="100"/>
            </w:tcMar>
            <w:vAlign w:val="center"/>
          </w:tcPr>
          <w:p>
            <w:pPr>
              <w:jc w:val="center"/>
            </w:pPr>
            <w:r>
              <w:rPr>
                <w:b w:val="false"/>
                <w:bCs w:val="false"/>
                <w:sz w:val="19"/>
                <w:szCs w:val="19"/>
              </w:rPr>
              <w:t xml:space="preserve">1.495</w:t>
            </w:r>
          </w:p>
        </w:tc>
        <w:tc>
          <w:tcPr>
            <w:tcW w:type="dxa" w:w="2000"/>
            <w:tcMar>
              <w:top w:type="dxa" w:w="50"/>
              <w:left w:type="dxa" w:w="100"/>
              <w:bottom w:type="dxa" w:w="50"/>
              <w:right w:type="dxa" w:w="100"/>
            </w:tcMar>
            <w:vAlign w:val="center"/>
          </w:tcPr>
          <w:p>
            <w:pPr>
              <w:jc w:val="center"/>
            </w:pPr>
            <w:r>
              <w:rPr>
                <w:b w:val="false"/>
                <w:bCs w:val="false"/>
                <w:sz w:val="19"/>
                <w:szCs w:val="19"/>
              </w:rPr>
              <w:t xml:space="preserve">3.35</w:t>
            </w:r>
          </w:p>
        </w:tc>
        <w:tc>
          <w:tcPr>
            <w:tcW w:type="dxa" w:w="2160"/>
            <w:tcMar>
              <w:top w:type="dxa" w:w="50"/>
              <w:left w:type="dxa" w:w="100"/>
              <w:bottom w:type="dxa" w:w="50"/>
              <w:right w:type="dxa" w:w="100"/>
            </w:tcMar>
            <w:vAlign w:val="center"/>
          </w:tcPr>
          <w:p>
            <w:pPr>
              <w:jc w:val="center"/>
            </w:pPr>
            <w:r>
              <w:rPr>
                <w:b w:val="false"/>
                <w:bCs w:val="false"/>
                <w:sz w:val="19"/>
                <w:szCs w:val="19"/>
              </w:rPr>
              <w:t xml:space="preserve">2.00×</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14 nm</w:t>
            </w:r>
          </w:p>
        </w:tc>
        <w:tc>
          <w:tcPr>
            <w:tcW w:type="dxa" w:w="1900"/>
            <w:tcMar>
              <w:top w:type="dxa" w:w="50"/>
              <w:left w:type="dxa" w:w="100"/>
              <w:bottom w:type="dxa" w:w="50"/>
              <w:right w:type="dxa" w:w="100"/>
            </w:tcMar>
            <w:vAlign w:val="center"/>
          </w:tcPr>
          <w:p>
            <w:pPr>
              <w:jc w:val="center"/>
            </w:pPr>
            <w:r>
              <w:rPr>
                <w:b w:val="false"/>
                <w:bCs w:val="false"/>
                <w:sz w:val="19"/>
                <w:szCs w:val="19"/>
              </w:rPr>
              <w:t xml:space="preserve">2.601</w:t>
            </w:r>
          </w:p>
        </w:tc>
        <w:tc>
          <w:tcPr>
            <w:tcW w:type="dxa" w:w="1900"/>
            <w:tcMar>
              <w:top w:type="dxa" w:w="50"/>
              <w:left w:type="dxa" w:w="100"/>
              <w:bottom w:type="dxa" w:w="50"/>
              <w:right w:type="dxa" w:w="100"/>
            </w:tcMar>
            <w:vAlign w:val="center"/>
          </w:tcPr>
          <w:p>
            <w:pPr>
              <w:jc w:val="center"/>
            </w:pPr>
            <w:r>
              <w:rPr>
                <w:b w:val="false"/>
                <w:bCs w:val="false"/>
                <w:sz w:val="19"/>
                <w:szCs w:val="19"/>
              </w:rPr>
              <w:t xml:space="preserve">1.769</w:t>
            </w:r>
          </w:p>
        </w:tc>
        <w:tc>
          <w:tcPr>
            <w:tcW w:type="dxa" w:w="2000"/>
            <w:tcMar>
              <w:top w:type="dxa" w:w="50"/>
              <w:left w:type="dxa" w:w="100"/>
              <w:bottom w:type="dxa" w:w="50"/>
              <w:right w:type="dxa" w:w="100"/>
            </w:tcMar>
            <w:vAlign w:val="center"/>
          </w:tcPr>
          <w:p>
            <w:pPr>
              <w:jc w:val="center"/>
            </w:pPr>
            <w:r>
              <w:rPr>
                <w:b w:val="false"/>
                <w:bCs w:val="false"/>
                <w:sz w:val="19"/>
                <w:szCs w:val="19"/>
              </w:rPr>
              <w:t xml:space="preserve">7.73</w:t>
            </w:r>
          </w:p>
        </w:tc>
        <w:tc>
          <w:tcPr>
            <w:tcW w:type="dxa" w:w="2160"/>
            <w:tcMar>
              <w:top w:type="dxa" w:w="50"/>
              <w:left w:type="dxa" w:w="100"/>
              <w:bottom w:type="dxa" w:w="50"/>
              <w:right w:type="dxa" w:w="100"/>
            </w:tcMar>
            <w:vAlign w:val="center"/>
          </w:tcPr>
          <w:p>
            <w:pPr>
              <w:jc w:val="center"/>
            </w:pPr>
            <w:r>
              <w:rPr>
                <w:b w:val="false"/>
                <w:bCs w:val="false"/>
                <w:sz w:val="19"/>
                <w:szCs w:val="19"/>
              </w:rPr>
              <w:t xml:space="preserve">4.60×</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7 nm</w:t>
            </w:r>
          </w:p>
        </w:tc>
        <w:tc>
          <w:tcPr>
            <w:tcW w:type="dxa" w:w="1900"/>
            <w:tcMar>
              <w:top w:type="dxa" w:w="50"/>
              <w:left w:type="dxa" w:w="100"/>
              <w:bottom w:type="dxa" w:w="50"/>
              <w:right w:type="dxa" w:w="100"/>
            </w:tcMar>
            <w:vAlign w:val="center"/>
          </w:tcPr>
          <w:p>
            <w:pPr>
              <w:jc w:val="center"/>
            </w:pPr>
            <w:r>
              <w:rPr>
                <w:b w:val="false"/>
                <w:bCs w:val="false"/>
                <w:sz w:val="19"/>
                <w:szCs w:val="19"/>
              </w:rPr>
              <w:t xml:space="preserve">3.984</w:t>
            </w:r>
          </w:p>
        </w:tc>
        <w:tc>
          <w:tcPr>
            <w:tcW w:type="dxa" w:w="1900"/>
            <w:tcMar>
              <w:top w:type="dxa" w:w="50"/>
              <w:left w:type="dxa" w:w="100"/>
              <w:bottom w:type="dxa" w:w="50"/>
              <w:right w:type="dxa" w:w="100"/>
            </w:tcMar>
            <w:vAlign w:val="center"/>
          </w:tcPr>
          <w:p>
            <w:pPr>
              <w:jc w:val="center"/>
            </w:pPr>
            <w:r>
              <w:rPr>
                <w:b w:val="false"/>
                <w:bCs w:val="false"/>
                <w:sz w:val="19"/>
                <w:szCs w:val="19"/>
              </w:rPr>
              <w:t xml:space="preserve">2.514</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16.83</w:t>
            </w:r>
          </w:p>
        </w:tc>
        <w:tc>
          <w:tcPr>
            <w:tcW w:type="dxa" w:w="2160"/>
            <w:tcMar>
              <w:top w:type="dxa" w:w="50"/>
              <w:left w:type="dxa" w:w="100"/>
              <w:bottom w:type="dxa" w:w="50"/>
              <w:right w:type="dxa" w:w="100"/>
            </w:tcMar>
            <w:vAlign w:val="center"/>
          </w:tcPr>
          <w:p>
            <w:pPr>
              <w:jc w:val="center"/>
            </w:pPr>
            <w:r>
              <w:rPr>
                <w:b w:val="false"/>
                <w:bCs w:val="false"/>
                <w:sz w:val="19"/>
                <w:szCs w:val="19"/>
              </w:rPr>
              <w:t xml:space="preserve">10.02×</w:t>
            </w:r>
          </w:p>
        </w:tc>
      </w:tr>
    </w:tbl>
    <w:p>
      <w:pPr>
        <w:spacing w:after="160" w:before="60"/>
      </w:pPr>
      <w:r>
        <w:rPr>
          <w:i/>
          <w:iCs/>
          <w:color w:val="555555"/>
          <w:sz w:val="18"/>
          <w:szCs w:val="18"/>
        </w:rPr>
        <w:t xml:space="preserve">Table 2. Copper effective resistivity scaling due to combined surface and grain-boundary scattering.</w:t>
      </w:r>
    </w:p>
    <w:p>
      <w:pPr>
        <w:pStyle w:val="Heading2"/>
        <w:spacing w:after="140" w:before="320"/>
      </w:pPr>
      <w:r>
        <w:t xml:space="preserve">2. Resistance, Inductance, and Capacitance: Copper vs. SWCNT Bundles</w:t>
      </w:r>
    </w:p>
    <w:p>
      <w:pPr>
        <w:pStyle w:val="Heading3"/>
        <w:spacing w:after="100" w:before="220"/>
      </w:pPr>
      <w:r>
        <w:t xml:space="preserve">2.1 Resistance</w:t>
      </w:r>
    </w:p>
    <w:p>
      <w:pPr>
        <w:spacing w:after="160" w:line="300"/>
      </w:pPr>
      <w:r>
        <w:rPr>
          <w:i w:val="false"/>
          <w:iCs w:val="false"/>
          <w:sz w:val="22"/>
          <w:szCs w:val="22"/>
        </w:rPr>
        <w:t xml:space="preserve">Extracted resistance values for interconnect lengths of 100 μm, 500 μm, and 1000 μm are summarized in Table 3. At every node the CNT/Cu resistance ratio is essentially independent of wire length, because the bundle resistance is dominated by the fixed quantum resistance (R_Q = h/4e² ≈ 6,453 Ω per tube) and contact resistance rather than by the length-dependent scattering term. What does change with node is the ratio itself: it falls steadily from 50.1× at 45 nm to 22.7× at 22 nm, 7.4–7.5× at 14 nm, and just 2.1× at 7 nm — copper's own resistivity blow-up is closing the gap far more than any improvement in the CNT bundle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2000"/>
        <w:gridCol w:w="2560"/>
      </w:tblGrid>
      <w:tr>
        <w:trPr>
          <w:tblHeader/>
        </w:trPr>
        <w:tc>
          <w:tcPr>
            <w:tcW w:type="dxa" w:w="1400"/>
            <w:shd w:fill="DCE6F1" w:color="auto" w:val="clear"/>
            <w:tcMar>
              <w:top w:type="dxa" w:w="60"/>
              <w:left w:type="dxa" w:w="100"/>
              <w:bottom w:type="dxa" w:w="60"/>
              <w:right w:type="dxa" w:w="100"/>
            </w:tcMar>
            <w:vAlign w:val="center"/>
          </w:tcPr>
          <w:p>
            <w:pPr>
              <w:jc w:val="center"/>
            </w:pPr>
            <w:r>
              <w:rPr>
                <w:b/>
                <w:bCs/>
                <w:color w:val="1F4E79"/>
                <w:sz w:val="19"/>
                <w:szCs w:val="19"/>
              </w:rPr>
              <w:t xml:space="preserve">Node</w:t>
            </w:r>
          </w:p>
        </w:tc>
        <w:tc>
          <w:tcPr>
            <w:tcW w:type="dxa" w:w="1400"/>
            <w:shd w:fill="DCE6F1" w:color="auto" w:val="clear"/>
            <w:tcMar>
              <w:top w:type="dxa" w:w="60"/>
              <w:left w:type="dxa" w:w="100"/>
              <w:bottom w:type="dxa" w:w="60"/>
              <w:right w:type="dxa" w:w="100"/>
            </w:tcMar>
            <w:vAlign w:val="center"/>
          </w:tcPr>
          <w:p>
            <w:pPr>
              <w:jc w:val="center"/>
            </w:pPr>
            <w:r>
              <w:rPr>
                <w:b/>
                <w:bCs/>
                <w:color w:val="1F4E79"/>
                <w:sz w:val="19"/>
                <w:szCs w:val="19"/>
              </w:rPr>
              <w:t xml:space="preserve">Length (μm)</w:t>
            </w:r>
          </w:p>
        </w:tc>
        <w:tc>
          <w:tcPr>
            <w:tcW w:type="dxa" w:w="2000"/>
            <w:shd w:fill="DCE6F1" w:color="auto" w:val="clear"/>
            <w:tcMar>
              <w:top w:type="dxa" w:w="60"/>
              <w:left w:type="dxa" w:w="100"/>
              <w:bottom w:type="dxa" w:w="60"/>
              <w:right w:type="dxa" w:w="100"/>
            </w:tcMar>
            <w:vAlign w:val="center"/>
          </w:tcPr>
          <w:p>
            <w:pPr>
              <w:jc w:val="center"/>
            </w:pPr>
            <w:r>
              <w:rPr>
                <w:b/>
                <w:bCs/>
                <w:color w:val="1F4E79"/>
                <w:sz w:val="19"/>
                <w:szCs w:val="19"/>
              </w:rPr>
              <w:t xml:space="preserve">Cu R (Ω)</w:t>
            </w:r>
          </w:p>
        </w:tc>
        <w:tc>
          <w:tcPr>
            <w:tcW w:type="dxa" w:w="2000"/>
            <w:shd w:fill="DCE6F1" w:color="auto" w:val="clear"/>
            <w:tcMar>
              <w:top w:type="dxa" w:w="60"/>
              <w:left w:type="dxa" w:w="100"/>
              <w:bottom w:type="dxa" w:w="60"/>
              <w:right w:type="dxa" w:w="100"/>
            </w:tcMar>
            <w:vAlign w:val="center"/>
          </w:tcPr>
          <w:p>
            <w:pPr>
              <w:jc w:val="center"/>
            </w:pPr>
            <w:r>
              <w:rPr>
                <w:b/>
                <w:bCs/>
                <w:color w:val="1F4E79"/>
                <w:sz w:val="19"/>
                <w:szCs w:val="19"/>
              </w:rPr>
              <w:t xml:space="preserve">CNT R (Ω)</w:t>
            </w:r>
          </w:p>
        </w:tc>
        <w:tc>
          <w:tcPr>
            <w:tcW w:type="dxa" w:w="2560"/>
            <w:shd w:fill="DCE6F1" w:color="auto" w:val="clear"/>
            <w:tcMar>
              <w:top w:type="dxa" w:w="60"/>
              <w:left w:type="dxa" w:w="100"/>
              <w:bottom w:type="dxa" w:w="60"/>
              <w:right w:type="dxa" w:w="100"/>
            </w:tcMar>
            <w:vAlign w:val="center"/>
          </w:tcPr>
          <w:p>
            <w:pPr>
              <w:jc w:val="center"/>
            </w:pPr>
            <w:r>
              <w:rPr>
                <w:b/>
                <w:bCs/>
                <w:color w:val="1F4E79"/>
                <w:sz w:val="19"/>
                <w:szCs w:val="19"/>
              </w:rPr>
              <w:t xml:space="preserve">CNT/Cu Ratio</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45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877.7</w:t>
            </w:r>
          </w:p>
        </w:tc>
        <w:tc>
          <w:tcPr>
            <w:tcW w:type="dxa" w:w="2000"/>
            <w:tcMar>
              <w:top w:type="dxa" w:w="50"/>
              <w:left w:type="dxa" w:w="100"/>
              <w:bottom w:type="dxa" w:w="50"/>
              <w:right w:type="dxa" w:w="100"/>
            </w:tcMar>
            <w:vAlign w:val="center"/>
          </w:tcPr>
          <w:p>
            <w:pPr>
              <w:jc w:val="center"/>
            </w:pPr>
            <w:r>
              <w:rPr>
                <w:b w:val="false"/>
                <w:bCs w:val="false"/>
                <w:sz w:val="19"/>
                <w:szCs w:val="19"/>
              </w:rPr>
              <w:t xml:space="preserve">43,991</w:t>
            </w:r>
          </w:p>
        </w:tc>
        <w:tc>
          <w:tcPr>
            <w:tcW w:type="dxa" w:w="2560"/>
            <w:tcMar>
              <w:top w:type="dxa" w:w="50"/>
              <w:left w:type="dxa" w:w="100"/>
              <w:bottom w:type="dxa" w:w="50"/>
              <w:right w:type="dxa" w:w="100"/>
            </w:tcMar>
            <w:vAlign w:val="center"/>
          </w:tcPr>
          <w:p>
            <w:pPr>
              <w:jc w:val="center"/>
            </w:pPr>
            <w:r>
              <w:rPr>
                <w:b w:val="false"/>
                <w:bCs w:val="false"/>
                <w:sz w:val="19"/>
                <w:szCs w:val="19"/>
              </w:rPr>
              <w:t xml:space="preserve">50.1×</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45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4,389</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219,735</w:t>
            </w:r>
          </w:p>
        </w:tc>
        <w:tc>
          <w:tcPr>
            <w:tcW w:type="dxa" w:w="2560"/>
            <w:tcMar>
              <w:top w:type="dxa" w:w="50"/>
              <w:left w:type="dxa" w:w="100"/>
              <w:bottom w:type="dxa" w:w="50"/>
              <w:right w:type="dxa" w:w="100"/>
            </w:tcMar>
            <w:vAlign w:val="center"/>
          </w:tcPr>
          <w:p>
            <w:pPr>
              <w:jc w:val="center"/>
            </w:pPr>
            <w:r>
              <w:rPr>
                <w:b w:val="false"/>
                <w:bCs w:val="false"/>
                <w:sz w:val="19"/>
                <w:szCs w:val="19"/>
              </w:rPr>
              <w:t xml:space="preserve">50.1×</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45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8,777</w:t>
            </w:r>
          </w:p>
        </w:tc>
        <w:tc>
          <w:tcPr>
            <w:tcW w:type="dxa" w:w="2000"/>
            <w:tcMar>
              <w:top w:type="dxa" w:w="50"/>
              <w:left w:type="dxa" w:w="100"/>
              <w:bottom w:type="dxa" w:w="50"/>
              <w:right w:type="dxa" w:w="100"/>
            </w:tcMar>
            <w:vAlign w:val="center"/>
          </w:tcPr>
          <w:p>
            <w:pPr>
              <w:jc w:val="center"/>
            </w:pPr>
            <w:r>
              <w:rPr>
                <w:b w:val="false"/>
                <w:bCs w:val="false"/>
                <w:sz w:val="19"/>
                <w:szCs w:val="19"/>
              </w:rPr>
              <w:t xml:space="preserve">439,415</w:t>
            </w:r>
          </w:p>
        </w:tc>
        <w:tc>
          <w:tcPr>
            <w:tcW w:type="dxa" w:w="2560"/>
            <w:tcMar>
              <w:top w:type="dxa" w:w="50"/>
              <w:left w:type="dxa" w:w="100"/>
              <w:bottom w:type="dxa" w:w="50"/>
              <w:right w:type="dxa" w:w="100"/>
            </w:tcMar>
            <w:vAlign w:val="center"/>
          </w:tcPr>
          <w:p>
            <w:pPr>
              <w:jc w:val="center"/>
            </w:pPr>
            <w:r>
              <w:rPr>
                <w:b w:val="false"/>
                <w:bCs w:val="false"/>
                <w:sz w:val="19"/>
                <w:szCs w:val="19"/>
              </w:rPr>
              <w:t xml:space="preserve">50.1×</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22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4,946</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112,422</w:t>
            </w:r>
          </w:p>
        </w:tc>
        <w:tc>
          <w:tcPr>
            <w:tcW w:type="dxa" w:w="2560"/>
            <w:tcMar>
              <w:top w:type="dxa" w:w="50"/>
              <w:left w:type="dxa" w:w="100"/>
              <w:bottom w:type="dxa" w:w="50"/>
              <w:right w:type="dxa" w:w="100"/>
            </w:tcMar>
            <w:vAlign w:val="center"/>
          </w:tcPr>
          <w:p>
            <w:pPr>
              <w:jc w:val="center"/>
            </w:pPr>
            <w:r>
              <w:rPr>
                <w:b w:val="false"/>
                <w:bCs w:val="false"/>
                <w:sz w:val="19"/>
                <w:szCs w:val="19"/>
              </w:rPr>
              <w:t xml:space="preserve">22.7×</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22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24,730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561,546</w:t>
            </w:r>
          </w:p>
        </w:tc>
        <w:tc>
          <w:tcPr>
            <w:tcW w:type="dxa" w:w="2560"/>
            <w:tcMar>
              <w:top w:type="dxa" w:w="50"/>
              <w:left w:type="dxa" w:w="100"/>
              <w:bottom w:type="dxa" w:w="50"/>
              <w:right w:type="dxa" w:w="100"/>
            </w:tcMar>
            <w:vAlign w:val="center"/>
          </w:tcPr>
          <w:p>
            <w:pPr>
              <w:jc w:val="center"/>
            </w:pPr>
            <w:r>
              <w:rPr>
                <w:b w:val="false"/>
                <w:bCs w:val="false"/>
                <w:sz w:val="19"/>
                <w:szCs w:val="19"/>
              </w:rPr>
              <w:t xml:space="preserve">22.7×</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22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49,461</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1,122,950</w:t>
            </w:r>
          </w:p>
        </w:tc>
        <w:tc>
          <w:tcPr>
            <w:tcW w:type="dxa" w:w="2560"/>
            <w:tcMar>
              <w:top w:type="dxa" w:w="50"/>
              <w:left w:type="dxa" w:w="100"/>
              <w:bottom w:type="dxa" w:w="50"/>
              <w:right w:type="dxa" w:w="100"/>
            </w:tcMar>
            <w:vAlign w:val="center"/>
          </w:tcPr>
          <w:p>
            <w:pPr>
              <w:jc w:val="center"/>
            </w:pPr>
            <w:r>
              <w:rPr>
                <w:b w:val="false"/>
                <w:bCs w:val="false"/>
                <w:sz w:val="19"/>
                <w:szCs w:val="19"/>
              </w:rPr>
              <w:t xml:space="preserve">22.7×</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14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28,006</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208,783</w:t>
            </w:r>
          </w:p>
        </w:tc>
        <w:tc>
          <w:tcPr>
            <w:tcW w:type="dxa" w:w="2560"/>
            <w:tcMar>
              <w:top w:type="dxa" w:w="50"/>
              <w:left w:type="dxa" w:w="100"/>
              <w:bottom w:type="dxa" w:w="50"/>
              <w:right w:type="dxa" w:w="100"/>
            </w:tcMar>
            <w:vAlign w:val="center"/>
          </w:tcPr>
          <w:p>
            <w:pPr>
              <w:jc w:val="center"/>
            </w:pPr>
            <w:r>
              <w:rPr>
                <w:b w:val="false"/>
                <w:bCs w:val="false"/>
                <w:sz w:val="19"/>
                <w:szCs w:val="19"/>
              </w:rPr>
              <w:t xml:space="preserve">7.5×</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14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140,028</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1,042,870</w:t>
            </w:r>
          </w:p>
        </w:tc>
        <w:tc>
          <w:tcPr>
            <w:tcW w:type="dxa" w:w="2560"/>
            <w:tcMar>
              <w:top w:type="dxa" w:w="50"/>
              <w:left w:type="dxa" w:w="100"/>
              <w:bottom w:type="dxa" w:w="50"/>
              <w:right w:type="dxa" w:w="100"/>
            </w:tcMar>
            <w:vAlign w:val="center"/>
          </w:tcPr>
          <w:p>
            <w:pPr>
              <w:jc w:val="center"/>
            </w:pPr>
            <w:r>
              <w:rPr>
                <w:b w:val="false"/>
                <w:bCs w:val="false"/>
                <w:sz w:val="19"/>
                <w:szCs w:val="19"/>
              </w:rPr>
              <w:t xml:space="preserve">7.4×</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14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280,057</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2,085,479</w:t>
            </w:r>
          </w:p>
        </w:tc>
        <w:tc>
          <w:tcPr>
            <w:tcW w:type="dxa" w:w="2560"/>
            <w:tcMar>
              <w:top w:type="dxa" w:w="50"/>
              <w:left w:type="dxa" w:w="100"/>
              <w:bottom w:type="dxa" w:w="50"/>
              <w:right w:type="dxa" w:w="100"/>
            </w:tcMar>
            <w:vAlign w:val="center"/>
          </w:tcPr>
          <w:p>
            <w:pPr>
              <w:jc w:val="center"/>
            </w:pPr>
            <w:r>
              <w:rPr>
                <w:b w:val="false"/>
                <w:bCs w:val="false"/>
                <w:sz w:val="19"/>
                <w:szCs w:val="19"/>
              </w:rPr>
              <w:t xml:space="preserve">7.5×</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7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258,858</w:t>
            </w:r>
          </w:p>
        </w:tc>
        <w:tc>
          <w:tcPr>
            <w:tcW w:type="dxa" w:w="2000"/>
            <w:tcMar>
              <w:top w:type="dxa" w:w="50"/>
              <w:left w:type="dxa" w:w="100"/>
              <w:bottom w:type="dxa" w:w="50"/>
              <w:right w:type="dxa" w:w="100"/>
            </w:tcMar>
            <w:vAlign w:val="center"/>
          </w:tcPr>
          <w:p>
            <w:pPr>
              <w:jc w:val="center"/>
            </w:pPr>
            <w:r>
              <w:rPr>
                <w:b w:val="false"/>
                <w:bCs w:val="false"/>
                <w:sz w:val="19"/>
                <w:szCs w:val="19"/>
              </w:rPr>
              <w:t xml:space="preserve">548,055</w:t>
            </w:r>
          </w:p>
        </w:tc>
        <w:tc>
          <w:tcPr>
            <w:tcW w:type="dxa" w:w="2560"/>
            <w:tcMar>
              <w:top w:type="dxa" w:w="50"/>
              <w:left w:type="dxa" w:w="100"/>
              <w:bottom w:type="dxa" w:w="50"/>
              <w:right w:type="dxa" w:w="100"/>
            </w:tcMar>
            <w:vAlign w:val="center"/>
          </w:tcPr>
          <w:p>
            <w:pPr>
              <w:jc w:val="center"/>
            </w:pPr>
            <w:r>
              <w:rPr>
                <w:b w:val="false"/>
                <w:bCs w:val="false"/>
                <w:sz w:val="19"/>
                <w:szCs w:val="19"/>
              </w:rPr>
              <w:t xml:space="preserve">2.1×</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7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1,294,291</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2,737,535</w:t>
            </w:r>
          </w:p>
        </w:tc>
        <w:tc>
          <w:tcPr>
            <w:tcW w:type="dxa" w:w="2560"/>
            <w:tcMar>
              <w:top w:type="dxa" w:w="50"/>
              <w:left w:type="dxa" w:w="100"/>
              <w:bottom w:type="dxa" w:w="50"/>
              <w:right w:type="dxa" w:w="100"/>
            </w:tcMar>
            <w:vAlign w:val="center"/>
          </w:tcPr>
          <w:p>
            <w:pPr>
              <w:jc w:val="center"/>
            </w:pPr>
            <w:r>
              <w:rPr>
                <w:b w:val="false"/>
                <w:bCs w:val="false"/>
                <w:sz w:val="19"/>
                <w:szCs w:val="19"/>
              </w:rPr>
              <w:t xml:space="preserve">2.1×</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7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2,588,583</w:t>
            </w:r>
          </w:p>
        </w:tc>
        <w:tc>
          <w:tcPr>
            <w:tcW w:type="dxa" w:w="2000"/>
            <w:tcMar>
              <w:top w:type="dxa" w:w="50"/>
              <w:left w:type="dxa" w:w="100"/>
              <w:bottom w:type="dxa" w:w="50"/>
              <w:right w:type="dxa" w:w="100"/>
            </w:tcMar>
            <w:vAlign w:val="center"/>
          </w:tcPr>
          <w:p>
            <w:pPr>
              <w:jc w:val="center"/>
            </w:pPr>
            <w:r>
              <w:rPr>
                <w:b w:val="false"/>
                <w:bCs w:val="false"/>
                <w:sz w:val="19"/>
                <w:szCs w:val="19"/>
              </w:rPr>
              <w:t xml:space="preserve">5,474,384</w:t>
            </w:r>
          </w:p>
        </w:tc>
        <w:tc>
          <w:tcPr>
            <w:tcW w:type="dxa" w:w="2560"/>
            <w:tcMar>
              <w:top w:type="dxa" w:w="50"/>
              <w:left w:type="dxa" w:w="100"/>
              <w:bottom w:type="dxa" w:w="50"/>
              <w:right w:type="dxa" w:w="100"/>
            </w:tcMar>
            <w:vAlign w:val="center"/>
          </w:tcPr>
          <w:p>
            <w:pPr>
              <w:jc w:val="center"/>
            </w:pPr>
            <w:r>
              <w:rPr>
                <w:b w:val="false"/>
                <w:bCs w:val="false"/>
                <w:sz w:val="19"/>
                <w:szCs w:val="19"/>
              </w:rPr>
              <w:t xml:space="preserve">2.1×</w:t>
            </w:r>
          </w:p>
        </w:tc>
      </w:tr>
    </w:tbl>
    <w:p>
      <w:pPr>
        <w:spacing w:after="160" w:before="60"/>
      </w:pPr>
      <w:r>
        <w:rPr>
          <w:i/>
          <w:iCs/>
          <w:color w:val="555555"/>
          <w:sz w:val="18"/>
          <w:szCs w:val="18"/>
        </w:rPr>
        <w:t xml:space="preserve">Table 3. Total interconnect resistance, copper vs. SWCNT bundle, across node and length.</w:t>
      </w:r>
    </w:p>
    <w:p>
      <w:pPr>
        <w:pStyle w:val="Heading3"/>
        <w:spacing w:after="100" w:before="220"/>
      </w:pPr>
      <w:r>
        <w:t xml:space="preserve">2.2 Inductance</w:t>
      </w:r>
    </w:p>
    <w:p>
      <w:pPr>
        <w:spacing w:after="160" w:line="300"/>
      </w:pPr>
      <w:r>
        <w:rPr>
          <w:i w:val="false"/>
          <w:iCs w:val="false"/>
          <w:sz w:val="22"/>
          <w:szCs w:val="22"/>
        </w:rPr>
        <w:t xml:space="preserve">CNT inductance is dominated by kinetic inductance rather than the conventional magnetic inductance that governs copper (Table 4). Because kinetic inductance scales inversely with the number of metallic tubes in the bundle, the CNT/Cu ratio grows sharply as the node shrinks and N_metallic falls — from roughly 13–17× at 45 nm to 141–174× at 7 nm. This trend runs in the opposite direction from the resistance trend: copper's magnetic inductance stays comparatively flat with node scaling (0.16–0.19 nH at 100 μm), so as CNTs become more resistance-competitive at smaller nodes, their inductance disadvantage simultaneously worsens — a genuine trade-off rather than a uniform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2000"/>
        <w:gridCol w:w="2560"/>
      </w:tblGrid>
      <w:tr>
        <w:trPr>
          <w:tblHeader/>
        </w:trPr>
        <w:tc>
          <w:tcPr>
            <w:tcW w:type="dxa" w:w="1400"/>
            <w:shd w:fill="DCE6F1" w:color="auto" w:val="clear"/>
            <w:tcMar>
              <w:top w:type="dxa" w:w="60"/>
              <w:left w:type="dxa" w:w="100"/>
              <w:bottom w:type="dxa" w:w="60"/>
              <w:right w:type="dxa" w:w="100"/>
            </w:tcMar>
            <w:vAlign w:val="center"/>
          </w:tcPr>
          <w:p>
            <w:pPr>
              <w:jc w:val="center"/>
            </w:pPr>
            <w:r>
              <w:rPr>
                <w:b/>
                <w:bCs/>
                <w:color w:val="1F4E79"/>
                <w:sz w:val="19"/>
                <w:szCs w:val="19"/>
              </w:rPr>
              <w:t xml:space="preserve">Node</w:t>
            </w:r>
          </w:p>
        </w:tc>
        <w:tc>
          <w:tcPr>
            <w:tcW w:type="dxa" w:w="1400"/>
            <w:shd w:fill="DCE6F1" w:color="auto" w:val="clear"/>
            <w:tcMar>
              <w:top w:type="dxa" w:w="60"/>
              <w:left w:type="dxa" w:w="100"/>
              <w:bottom w:type="dxa" w:w="60"/>
              <w:right w:type="dxa" w:w="100"/>
            </w:tcMar>
            <w:vAlign w:val="center"/>
          </w:tcPr>
          <w:p>
            <w:pPr>
              <w:jc w:val="center"/>
            </w:pPr>
            <w:r>
              <w:rPr>
                <w:b/>
                <w:bCs/>
                <w:color w:val="1F4E79"/>
                <w:sz w:val="19"/>
                <w:szCs w:val="19"/>
              </w:rPr>
              <w:t xml:space="preserve">Length (μm)</w:t>
            </w:r>
          </w:p>
        </w:tc>
        <w:tc>
          <w:tcPr>
            <w:tcW w:type="dxa" w:w="2000"/>
            <w:shd w:fill="DCE6F1" w:color="auto" w:val="clear"/>
            <w:tcMar>
              <w:top w:type="dxa" w:w="60"/>
              <w:left w:type="dxa" w:w="100"/>
              <w:bottom w:type="dxa" w:w="60"/>
              <w:right w:type="dxa" w:w="100"/>
            </w:tcMar>
            <w:vAlign w:val="center"/>
          </w:tcPr>
          <w:p>
            <w:pPr>
              <w:jc w:val="center"/>
            </w:pPr>
            <w:r>
              <w:rPr>
                <w:b/>
                <w:bCs/>
                <w:color w:val="1F4E79"/>
                <w:sz w:val="19"/>
                <w:szCs w:val="19"/>
              </w:rPr>
              <w:t xml:space="preserve">Cu L (nH)</w:t>
            </w:r>
          </w:p>
        </w:tc>
        <w:tc>
          <w:tcPr>
            <w:tcW w:type="dxa" w:w="2000"/>
            <w:shd w:fill="DCE6F1" w:color="auto" w:val="clear"/>
            <w:tcMar>
              <w:top w:type="dxa" w:w="60"/>
              <w:left w:type="dxa" w:w="100"/>
              <w:bottom w:type="dxa" w:w="60"/>
              <w:right w:type="dxa" w:w="100"/>
            </w:tcMar>
            <w:vAlign w:val="center"/>
          </w:tcPr>
          <w:p>
            <w:pPr>
              <w:jc w:val="center"/>
            </w:pPr>
            <w:r>
              <w:rPr>
                <w:b/>
                <w:bCs/>
                <w:color w:val="1F4E79"/>
                <w:sz w:val="19"/>
                <w:szCs w:val="19"/>
              </w:rPr>
              <w:t xml:space="preserve">CNT L (nH)</w:t>
            </w:r>
          </w:p>
        </w:tc>
        <w:tc>
          <w:tcPr>
            <w:tcW w:type="dxa" w:w="2560"/>
            <w:shd w:fill="DCE6F1" w:color="auto" w:val="clear"/>
            <w:tcMar>
              <w:top w:type="dxa" w:w="60"/>
              <w:left w:type="dxa" w:w="100"/>
              <w:bottom w:type="dxa" w:w="60"/>
              <w:right w:type="dxa" w:w="100"/>
            </w:tcMar>
            <w:vAlign w:val="center"/>
          </w:tcPr>
          <w:p>
            <w:pPr>
              <w:jc w:val="center"/>
            </w:pPr>
            <w:r>
              <w:rPr>
                <w:b/>
                <w:bCs/>
                <w:color w:val="1F4E79"/>
                <w:sz w:val="19"/>
                <w:szCs w:val="19"/>
              </w:rPr>
              <w:t xml:space="preserve">CNT/Cu Ratio</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45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0.158</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2.727</w:t>
            </w:r>
          </w:p>
        </w:tc>
        <w:tc>
          <w:tcPr>
            <w:tcW w:type="dxa" w:w="2560"/>
            <w:tcMar>
              <w:top w:type="dxa" w:w="50"/>
              <w:left w:type="dxa" w:w="100"/>
              <w:bottom w:type="dxa" w:w="50"/>
              <w:right w:type="dxa" w:w="100"/>
            </w:tcMar>
            <w:vAlign w:val="center"/>
          </w:tcPr>
          <w:p>
            <w:pPr>
              <w:jc w:val="center"/>
            </w:pPr>
            <w:r>
              <w:rPr>
                <w:b w:val="false"/>
                <w:bCs w:val="false"/>
                <w:sz w:val="19"/>
                <w:szCs w:val="19"/>
              </w:rPr>
              <w:t xml:space="preserve">17.2×</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45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0.952</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13.637</w:t>
            </w:r>
          </w:p>
        </w:tc>
        <w:tc>
          <w:tcPr>
            <w:tcW w:type="dxa" w:w="2560"/>
            <w:tcMar>
              <w:top w:type="dxa" w:w="50"/>
              <w:left w:type="dxa" w:w="100"/>
              <w:bottom w:type="dxa" w:w="50"/>
              <w:right w:type="dxa" w:w="100"/>
            </w:tcMar>
            <w:vAlign w:val="center"/>
          </w:tcPr>
          <w:p>
            <w:pPr>
              <w:jc w:val="center"/>
            </w:pPr>
            <w:r>
              <w:rPr>
                <w:b w:val="false"/>
                <w:bCs w:val="false"/>
                <w:sz w:val="19"/>
                <w:szCs w:val="19"/>
              </w:rPr>
              <w:t xml:space="preserve">14.3×</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45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2.042</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27.275</w:t>
            </w:r>
          </w:p>
        </w:tc>
        <w:tc>
          <w:tcPr>
            <w:tcW w:type="dxa" w:w="2560"/>
            <w:tcMar>
              <w:top w:type="dxa" w:w="50"/>
              <w:left w:type="dxa" w:w="100"/>
              <w:bottom w:type="dxa" w:w="50"/>
              <w:right w:type="dxa" w:w="100"/>
            </w:tcMar>
            <w:vAlign w:val="center"/>
          </w:tcPr>
          <w:p>
            <w:pPr>
              <w:jc w:val="center"/>
            </w:pPr>
            <w:r>
              <w:rPr>
                <w:b w:val="false"/>
                <w:bCs w:val="false"/>
                <w:sz w:val="19"/>
                <w:szCs w:val="19"/>
              </w:rPr>
              <w:t xml:space="preserve">13.4×</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22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0.172</w:t>
            </w:r>
          </w:p>
        </w:tc>
        <w:tc>
          <w:tcPr>
            <w:tcW w:type="dxa" w:w="2000"/>
            <w:tcMar>
              <w:top w:type="dxa" w:w="50"/>
              <w:left w:type="dxa" w:w="100"/>
              <w:bottom w:type="dxa" w:w="50"/>
              <w:right w:type="dxa" w:w="100"/>
            </w:tcMar>
            <w:vAlign w:val="center"/>
          </w:tcPr>
          <w:p>
            <w:pPr>
              <w:jc w:val="center"/>
            </w:pPr>
            <w:r>
              <w:rPr>
                <w:b w:val="false"/>
                <w:bCs w:val="false"/>
                <w:sz w:val="19"/>
                <w:szCs w:val="19"/>
              </w:rPr>
              <w:t xml:space="preserve">6.925</w:t>
            </w:r>
          </w:p>
        </w:tc>
        <w:tc>
          <w:tcPr>
            <w:tcW w:type="dxa" w:w="2560"/>
            <w:tcMar>
              <w:top w:type="dxa" w:w="50"/>
              <w:left w:type="dxa" w:w="100"/>
              <w:bottom w:type="dxa" w:w="50"/>
              <w:right w:type="dxa" w:w="100"/>
            </w:tcMar>
            <w:vAlign w:val="center"/>
          </w:tcPr>
          <w:p>
            <w:pPr>
              <w:jc w:val="center"/>
            </w:pPr>
            <w:r>
              <w:rPr>
                <w:b w:val="false"/>
                <w:bCs w:val="false"/>
                <w:sz w:val="19"/>
                <w:szCs w:val="19"/>
              </w:rPr>
              <w:t xml:space="preserve">40.3×</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22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1.019</w:t>
            </w:r>
          </w:p>
        </w:tc>
        <w:tc>
          <w:tcPr>
            <w:tcW w:type="dxa" w:w="2000"/>
            <w:tcMar>
              <w:top w:type="dxa" w:w="50"/>
              <w:left w:type="dxa" w:w="100"/>
              <w:bottom w:type="dxa" w:w="50"/>
              <w:right w:type="dxa" w:w="100"/>
            </w:tcMar>
            <w:vAlign w:val="center"/>
          </w:tcPr>
          <w:p>
            <w:pPr>
              <w:jc w:val="center"/>
            </w:pPr>
            <w:r>
              <w:rPr>
                <w:b w:val="false"/>
                <w:bCs w:val="false"/>
                <w:sz w:val="19"/>
                <w:szCs w:val="19"/>
              </w:rPr>
              <w:t xml:space="preserve">34.625</w:t>
            </w:r>
          </w:p>
        </w:tc>
        <w:tc>
          <w:tcPr>
            <w:tcW w:type="dxa" w:w="2560"/>
            <w:tcMar>
              <w:top w:type="dxa" w:w="50"/>
              <w:left w:type="dxa" w:w="100"/>
              <w:bottom w:type="dxa" w:w="50"/>
              <w:right w:type="dxa" w:w="100"/>
            </w:tcMar>
            <w:vAlign w:val="center"/>
          </w:tcPr>
          <w:p>
            <w:pPr>
              <w:jc w:val="center"/>
            </w:pPr>
            <w:r>
              <w:rPr>
                <w:b w:val="false"/>
                <w:bCs w:val="false"/>
                <w:sz w:val="19"/>
                <w:szCs w:val="19"/>
              </w:rPr>
              <w:t xml:space="preserve">34.0×</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22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2.178</w:t>
            </w:r>
          </w:p>
        </w:tc>
        <w:tc>
          <w:tcPr>
            <w:tcW w:type="dxa" w:w="2000"/>
            <w:tcMar>
              <w:top w:type="dxa" w:w="50"/>
              <w:left w:type="dxa" w:w="100"/>
              <w:bottom w:type="dxa" w:w="50"/>
              <w:right w:type="dxa" w:w="100"/>
            </w:tcMar>
            <w:vAlign w:val="center"/>
          </w:tcPr>
          <w:p>
            <w:pPr>
              <w:jc w:val="center"/>
            </w:pPr>
            <w:r>
              <w:rPr>
                <w:b w:val="false"/>
                <w:bCs w:val="false"/>
                <w:sz w:val="19"/>
                <w:szCs w:val="19"/>
              </w:rPr>
              <w:t xml:space="preserve">69.250</w:t>
            </w:r>
          </w:p>
        </w:tc>
        <w:tc>
          <w:tcPr>
            <w:tcW w:type="dxa" w:w="2560"/>
            <w:tcMar>
              <w:top w:type="dxa" w:w="50"/>
              <w:left w:type="dxa" w:w="100"/>
              <w:bottom w:type="dxa" w:w="50"/>
              <w:right w:type="dxa" w:w="100"/>
            </w:tcMar>
            <w:vAlign w:val="center"/>
          </w:tcPr>
          <w:p>
            <w:pPr>
              <w:jc w:val="center"/>
            </w:pPr>
            <w:r>
              <w:rPr>
                <w:b w:val="false"/>
                <w:bCs w:val="false"/>
                <w:sz w:val="19"/>
                <w:szCs w:val="19"/>
              </w:rPr>
              <w:t xml:space="preserve">31.8×</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14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0.180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12.835</w:t>
            </w:r>
          </w:p>
        </w:tc>
        <w:tc>
          <w:tcPr>
            <w:tcW w:type="dxa" w:w="2560"/>
            <w:tcMar>
              <w:top w:type="dxa" w:w="50"/>
              <w:left w:type="dxa" w:w="100"/>
              <w:bottom w:type="dxa" w:w="50"/>
              <w:right w:type="dxa" w:w="100"/>
            </w:tcMar>
            <w:vAlign w:val="center"/>
          </w:tcPr>
          <w:p>
            <w:pPr>
              <w:jc w:val="center"/>
            </w:pPr>
            <w:r>
              <w:rPr>
                <w:b w:val="false"/>
                <w:bCs w:val="false"/>
                <w:sz w:val="19"/>
                <w:szCs w:val="19"/>
              </w:rPr>
              <w:t xml:space="preserve">71.3×</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14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1.061</w:t>
            </w:r>
          </w:p>
        </w:tc>
        <w:tc>
          <w:tcPr>
            <w:tcW w:type="dxa" w:w="2000"/>
            <w:tcMar>
              <w:top w:type="dxa" w:w="50"/>
              <w:left w:type="dxa" w:w="100"/>
              <w:bottom w:type="dxa" w:w="50"/>
              <w:right w:type="dxa" w:w="100"/>
            </w:tcMar>
            <w:vAlign w:val="center"/>
          </w:tcPr>
          <w:p>
            <w:pPr>
              <w:jc w:val="center"/>
            </w:pPr>
            <w:r>
              <w:rPr>
                <w:b w:val="false"/>
                <w:bCs w:val="false"/>
                <w:sz w:val="19"/>
                <w:szCs w:val="19"/>
              </w:rPr>
              <w:t xml:space="preserve">64.177</w:t>
            </w:r>
          </w:p>
        </w:tc>
        <w:tc>
          <w:tcPr>
            <w:tcW w:type="dxa" w:w="2560"/>
            <w:tcMar>
              <w:top w:type="dxa" w:w="50"/>
              <w:left w:type="dxa" w:w="100"/>
              <w:bottom w:type="dxa" w:w="50"/>
              <w:right w:type="dxa" w:w="100"/>
            </w:tcMar>
            <w:vAlign w:val="center"/>
          </w:tcPr>
          <w:p>
            <w:pPr>
              <w:jc w:val="center"/>
            </w:pPr>
            <w:r>
              <w:rPr>
                <w:b w:val="false"/>
                <w:bCs w:val="false"/>
                <w:sz w:val="19"/>
                <w:szCs w:val="19"/>
              </w:rPr>
              <w:t xml:space="preserve">60.5×</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14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2.261</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128.353</w:t>
            </w:r>
          </w:p>
        </w:tc>
        <w:tc>
          <w:tcPr>
            <w:tcW w:type="dxa" w:w="2560"/>
            <w:tcMar>
              <w:top w:type="dxa" w:w="50"/>
              <w:left w:type="dxa" w:w="100"/>
              <w:bottom w:type="dxa" w:w="50"/>
              <w:right w:type="dxa" w:w="100"/>
            </w:tcMar>
            <w:vAlign w:val="center"/>
          </w:tcPr>
          <w:p>
            <w:pPr>
              <w:jc w:val="center"/>
            </w:pPr>
            <w:r>
              <w:rPr>
                <w:b w:val="false"/>
                <w:bCs w:val="false"/>
                <w:sz w:val="19"/>
                <w:szCs w:val="19"/>
              </w:rPr>
              <w:t xml:space="preserve">56.8×</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7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0.193</w:t>
            </w:r>
          </w:p>
        </w:tc>
        <w:tc>
          <w:tcPr>
            <w:tcW w:type="dxa" w:w="2000"/>
            <w:tcMar>
              <w:top w:type="dxa" w:w="50"/>
              <w:left w:type="dxa" w:w="100"/>
              <w:bottom w:type="dxa" w:w="50"/>
              <w:right w:type="dxa" w:w="100"/>
            </w:tcMar>
            <w:vAlign w:val="center"/>
          </w:tcPr>
          <w:p>
            <w:pPr>
              <w:jc w:val="center"/>
            </w:pPr>
            <w:r>
              <w:rPr>
                <w:b w:val="false"/>
                <w:bCs w:val="false"/>
                <w:sz w:val="19"/>
                <w:szCs w:val="19"/>
              </w:rPr>
              <w:t xml:space="preserve">33.643</w:t>
            </w:r>
          </w:p>
        </w:tc>
        <w:tc>
          <w:tcPr>
            <w:tcW w:type="dxa" w:w="2560"/>
            <w:tcMar>
              <w:top w:type="dxa" w:w="50"/>
              <w:left w:type="dxa" w:w="100"/>
              <w:bottom w:type="dxa" w:w="50"/>
              <w:right w:type="dxa" w:w="100"/>
            </w:tcMar>
            <w:vAlign w:val="center"/>
          </w:tcPr>
          <w:p>
            <w:pPr>
              <w:jc w:val="center"/>
            </w:pPr>
            <w:r>
              <w:rPr>
                <w:b w:val="false"/>
                <w:bCs w:val="false"/>
                <w:sz w:val="19"/>
                <w:szCs w:val="19"/>
              </w:rPr>
              <w:t xml:space="preserve">174.3×</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7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1.127</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168.213</w:t>
            </w:r>
          </w:p>
        </w:tc>
        <w:tc>
          <w:tcPr>
            <w:tcW w:type="dxa" w:w="2560"/>
            <w:tcMar>
              <w:top w:type="dxa" w:w="50"/>
              <w:left w:type="dxa" w:w="100"/>
              <w:bottom w:type="dxa" w:w="50"/>
              <w:right w:type="dxa" w:w="100"/>
            </w:tcMar>
            <w:vAlign w:val="center"/>
          </w:tcPr>
          <w:p>
            <w:pPr>
              <w:jc w:val="center"/>
            </w:pPr>
            <w:r>
              <w:rPr>
                <w:b w:val="false"/>
                <w:bCs w:val="false"/>
                <w:sz w:val="19"/>
                <w:szCs w:val="19"/>
              </w:rPr>
              <w:t xml:space="preserve">149.3×</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7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2.393</w:t>
            </w:r>
          </w:p>
        </w:tc>
        <w:tc>
          <w:tcPr>
            <w:tcW w:type="dxa" w:w="2000"/>
            <w:tcMar>
              <w:top w:type="dxa" w:w="50"/>
              <w:left w:type="dxa" w:w="100"/>
              <w:bottom w:type="dxa" w:w="50"/>
              <w:right w:type="dxa" w:w="100"/>
            </w:tcMar>
            <w:vAlign w:val="center"/>
          </w:tcPr>
          <w:p>
            <w:pPr>
              <w:jc w:val="center"/>
            </w:pPr>
            <w:r>
              <w:rPr>
                <w:b w:val="false"/>
                <w:bCs w:val="false"/>
                <w:sz w:val="19"/>
                <w:szCs w:val="19"/>
              </w:rPr>
              <w:t xml:space="preserve">336.426</w:t>
            </w:r>
          </w:p>
        </w:tc>
        <w:tc>
          <w:tcPr>
            <w:tcW w:type="dxa" w:w="2560"/>
            <w:tcMar>
              <w:top w:type="dxa" w:w="50"/>
              <w:left w:type="dxa" w:w="100"/>
              <w:bottom w:type="dxa" w:w="50"/>
              <w:right w:type="dxa" w:w="100"/>
            </w:tcMar>
            <w:vAlign w:val="center"/>
          </w:tcPr>
          <w:p>
            <w:pPr>
              <w:jc w:val="center"/>
            </w:pPr>
            <w:r>
              <w:rPr>
                <w:b w:val="false"/>
                <w:bCs w:val="false"/>
                <w:sz w:val="19"/>
                <w:szCs w:val="19"/>
              </w:rPr>
              <w:t xml:space="preserve">140.6×</w:t>
            </w:r>
          </w:p>
        </w:tc>
      </w:tr>
    </w:tbl>
    <w:p>
      <w:pPr>
        <w:spacing w:after="160" w:before="60"/>
      </w:pPr>
      <w:r>
        <w:rPr>
          <w:i/>
          <w:iCs/>
          <w:color w:val="555555"/>
          <w:sz w:val="18"/>
          <w:szCs w:val="18"/>
        </w:rPr>
        <w:t xml:space="preserve">Table 4. Total interconnect inductance, copper vs. SWCNT bundle, across node and length.</w:t>
      </w:r>
    </w:p>
    <w:p>
      <w:pPr>
        <w:pStyle w:val="Heading3"/>
        <w:spacing w:after="100" w:before="220"/>
      </w:pPr>
      <w:r>
        <w:t xml:space="preserve">2.3 Capacitance</w:t>
      </w:r>
    </w:p>
    <w:p>
      <w:pPr>
        <w:spacing w:after="160" w:line="300"/>
      </w:pPr>
      <w:r>
        <w:rPr>
          <w:i w:val="false"/>
          <w:iCs w:val="false"/>
          <w:sz w:val="22"/>
          <w:szCs w:val="22"/>
        </w:rPr>
        <w:t xml:space="preserve">Capacitance shows the most consistent trend of the three parameters (Table 5): the CNT bundle is 5.3–5.6× more capacitive than copper at every node and length studied, a gap that widens only marginally as the node shrinks. This is attributable to quantum capacitance, an intrinsic per-channel property of one-dimensional conductors that does not shrink away with geometric scaling. Copper capacitance, by contrast, benefits directly from node scaling — smaller wire cross-sections reduce fringe-field coupling to neighboring wires — so the absolute capacitance gap actually narrows slightly at smaller nodes even as the ratio edges upward.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2000"/>
        <w:gridCol w:w="2560"/>
      </w:tblGrid>
      <w:tr>
        <w:trPr>
          <w:tblHeader/>
        </w:trPr>
        <w:tc>
          <w:tcPr>
            <w:tcW w:type="dxa" w:w="1400"/>
            <w:shd w:fill="DCE6F1" w:color="auto" w:val="clear"/>
            <w:tcMar>
              <w:top w:type="dxa" w:w="60"/>
              <w:left w:type="dxa" w:w="100"/>
              <w:bottom w:type="dxa" w:w="60"/>
              <w:right w:type="dxa" w:w="100"/>
            </w:tcMar>
            <w:vAlign w:val="center"/>
          </w:tcPr>
          <w:p>
            <w:pPr>
              <w:jc w:val="center"/>
            </w:pPr>
            <w:r>
              <w:rPr>
                <w:b/>
                <w:bCs/>
                <w:color w:val="1F4E79"/>
                <w:sz w:val="19"/>
                <w:szCs w:val="19"/>
              </w:rPr>
              <w:t xml:space="preserve">Node</w:t>
            </w:r>
          </w:p>
        </w:tc>
        <w:tc>
          <w:tcPr>
            <w:tcW w:type="dxa" w:w="1400"/>
            <w:shd w:fill="DCE6F1" w:color="auto" w:val="clear"/>
            <w:tcMar>
              <w:top w:type="dxa" w:w="60"/>
              <w:left w:type="dxa" w:w="100"/>
              <w:bottom w:type="dxa" w:w="60"/>
              <w:right w:type="dxa" w:w="100"/>
            </w:tcMar>
            <w:vAlign w:val="center"/>
          </w:tcPr>
          <w:p>
            <w:pPr>
              <w:jc w:val="center"/>
            </w:pPr>
            <w:r>
              <w:rPr>
                <w:b/>
                <w:bCs/>
                <w:color w:val="1F4E79"/>
                <w:sz w:val="19"/>
                <w:szCs w:val="19"/>
              </w:rPr>
              <w:t xml:space="preserve">Length (μm)</w:t>
            </w:r>
          </w:p>
        </w:tc>
        <w:tc>
          <w:tcPr>
            <w:tcW w:type="dxa" w:w="2000"/>
            <w:shd w:fill="DCE6F1" w:color="auto" w:val="clear"/>
            <w:tcMar>
              <w:top w:type="dxa" w:w="60"/>
              <w:left w:type="dxa" w:w="100"/>
              <w:bottom w:type="dxa" w:w="60"/>
              <w:right w:type="dxa" w:w="100"/>
            </w:tcMar>
            <w:vAlign w:val="center"/>
          </w:tcPr>
          <w:p>
            <w:pPr>
              <w:jc w:val="center"/>
            </w:pPr>
            <w:r>
              <w:rPr>
                <w:b/>
                <w:bCs/>
                <w:color w:val="1F4E79"/>
                <w:sz w:val="19"/>
                <w:szCs w:val="19"/>
              </w:rPr>
              <w:t xml:space="preserve">Cu C (fF)</w:t>
            </w:r>
          </w:p>
        </w:tc>
        <w:tc>
          <w:tcPr>
            <w:tcW w:type="dxa" w:w="2000"/>
            <w:shd w:fill="DCE6F1" w:color="auto" w:val="clear"/>
            <w:tcMar>
              <w:top w:type="dxa" w:w="60"/>
              <w:left w:type="dxa" w:w="100"/>
              <w:bottom w:type="dxa" w:w="60"/>
              <w:right w:type="dxa" w:w="100"/>
            </w:tcMar>
            <w:vAlign w:val="center"/>
          </w:tcPr>
          <w:p>
            <w:pPr>
              <w:jc w:val="center"/>
            </w:pPr>
            <w:r>
              <w:rPr>
                <w:b/>
                <w:bCs/>
                <w:color w:val="1F4E79"/>
                <w:sz w:val="19"/>
                <w:szCs w:val="19"/>
              </w:rPr>
              <w:t xml:space="preserve">CNT C (fF)</w:t>
            </w:r>
          </w:p>
        </w:tc>
        <w:tc>
          <w:tcPr>
            <w:tcW w:type="dxa" w:w="2560"/>
            <w:shd w:fill="DCE6F1" w:color="auto" w:val="clear"/>
            <w:tcMar>
              <w:top w:type="dxa" w:w="60"/>
              <w:left w:type="dxa" w:w="100"/>
              <w:bottom w:type="dxa" w:w="60"/>
              <w:right w:type="dxa" w:w="100"/>
            </w:tcMar>
            <w:vAlign w:val="center"/>
          </w:tcPr>
          <w:p>
            <w:pPr>
              <w:jc w:val="center"/>
            </w:pPr>
            <w:r>
              <w:rPr>
                <w:b/>
                <w:bCs/>
                <w:color w:val="1F4E79"/>
                <w:sz w:val="19"/>
                <w:szCs w:val="19"/>
              </w:rPr>
              <w:t xml:space="preserve">CNT/Cu Ratio</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45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3.28</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17.36</w:t>
            </w:r>
          </w:p>
        </w:tc>
        <w:tc>
          <w:tcPr>
            <w:tcW w:type="dxa" w:w="2560"/>
            <w:tcMar>
              <w:top w:type="dxa" w:w="50"/>
              <w:left w:type="dxa" w:w="100"/>
              <w:bottom w:type="dxa" w:w="50"/>
              <w:right w:type="dxa" w:w="100"/>
            </w:tcMar>
            <w:vAlign w:val="center"/>
          </w:tcPr>
          <w:p>
            <w:pPr>
              <w:jc w:val="center"/>
            </w:pPr>
            <w:r>
              <w:rPr>
                <w:b w:val="false"/>
                <w:bCs w:val="false"/>
                <w:sz w:val="19"/>
                <w:szCs w:val="19"/>
              </w:rPr>
              <w:t xml:space="preserve">5.3×</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45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16.41</w:t>
            </w:r>
          </w:p>
        </w:tc>
        <w:tc>
          <w:tcPr>
            <w:tcW w:type="dxa" w:w="2000"/>
            <w:tcMar>
              <w:top w:type="dxa" w:w="50"/>
              <w:left w:type="dxa" w:w="100"/>
              <w:bottom w:type="dxa" w:w="50"/>
              <w:right w:type="dxa" w:w="100"/>
            </w:tcMar>
            <w:vAlign w:val="center"/>
          </w:tcPr>
          <w:p>
            <w:pPr>
              <w:jc w:val="center"/>
            </w:pPr>
            <w:r>
              <w:rPr>
                <w:b w:val="false"/>
                <w:bCs w:val="false"/>
                <w:sz w:val="19"/>
                <w:szCs w:val="19"/>
              </w:rPr>
              <w:t xml:space="preserve">86.80</w:t>
            </w:r>
          </w:p>
        </w:tc>
        <w:tc>
          <w:tcPr>
            <w:tcW w:type="dxa" w:w="2560"/>
            <w:tcMar>
              <w:top w:type="dxa" w:w="50"/>
              <w:left w:type="dxa" w:w="100"/>
              <w:bottom w:type="dxa" w:w="50"/>
              <w:right w:type="dxa" w:w="100"/>
            </w:tcMar>
            <w:vAlign w:val="center"/>
          </w:tcPr>
          <w:p>
            <w:pPr>
              <w:jc w:val="center"/>
            </w:pPr>
            <w:r>
              <w:rPr>
                <w:b w:val="false"/>
                <w:bCs w:val="false"/>
                <w:sz w:val="19"/>
                <w:szCs w:val="19"/>
              </w:rPr>
              <w:t xml:space="preserve">5.3×</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45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32.83</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173.61</w:t>
            </w:r>
          </w:p>
        </w:tc>
        <w:tc>
          <w:tcPr>
            <w:tcW w:type="dxa" w:w="2560"/>
            <w:tcMar>
              <w:top w:type="dxa" w:w="50"/>
              <w:left w:type="dxa" w:w="100"/>
              <w:bottom w:type="dxa" w:w="50"/>
              <w:right w:type="dxa" w:w="100"/>
            </w:tcMar>
            <w:vAlign w:val="center"/>
          </w:tcPr>
          <w:p>
            <w:pPr>
              <w:jc w:val="center"/>
            </w:pPr>
            <w:r>
              <w:rPr>
                <w:b w:val="false"/>
                <w:bCs w:val="false"/>
                <w:sz w:val="19"/>
                <w:szCs w:val="19"/>
              </w:rPr>
              <w:t xml:space="preserve">5.3×</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22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2.80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15.12</w:t>
            </w:r>
          </w:p>
        </w:tc>
        <w:tc>
          <w:tcPr>
            <w:tcW w:type="dxa" w:w="2560"/>
            <w:tcMar>
              <w:top w:type="dxa" w:w="50"/>
              <w:left w:type="dxa" w:w="100"/>
              <w:bottom w:type="dxa" w:w="50"/>
              <w:right w:type="dxa" w:w="100"/>
            </w:tcMar>
            <w:vAlign w:val="center"/>
          </w:tcPr>
          <w:p>
            <w:pPr>
              <w:jc w:val="center"/>
            </w:pPr>
            <w:r>
              <w:rPr>
                <w:b w:val="false"/>
                <w:bCs w:val="false"/>
                <w:sz w:val="19"/>
                <w:szCs w:val="19"/>
              </w:rPr>
              <w:t xml:space="preserve">5.4×</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22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14.01</w:t>
            </w:r>
          </w:p>
        </w:tc>
        <w:tc>
          <w:tcPr>
            <w:tcW w:type="dxa" w:w="2000"/>
            <w:tcMar>
              <w:top w:type="dxa" w:w="50"/>
              <w:left w:type="dxa" w:w="100"/>
              <w:bottom w:type="dxa" w:w="50"/>
              <w:right w:type="dxa" w:w="100"/>
            </w:tcMar>
            <w:vAlign w:val="center"/>
          </w:tcPr>
          <w:p>
            <w:pPr>
              <w:jc w:val="center"/>
            </w:pPr>
            <w:r>
              <w:rPr>
                <w:b w:val="false"/>
                <w:bCs w:val="false"/>
                <w:sz w:val="19"/>
                <w:szCs w:val="19"/>
              </w:rPr>
              <w:t xml:space="preserve">75.58</w:t>
            </w:r>
          </w:p>
        </w:tc>
        <w:tc>
          <w:tcPr>
            <w:tcW w:type="dxa" w:w="2560"/>
            <w:tcMar>
              <w:top w:type="dxa" w:w="50"/>
              <w:left w:type="dxa" w:w="100"/>
              <w:bottom w:type="dxa" w:w="50"/>
              <w:right w:type="dxa" w:w="100"/>
            </w:tcMar>
            <w:vAlign w:val="center"/>
          </w:tcPr>
          <w:p>
            <w:pPr>
              <w:jc w:val="center"/>
            </w:pPr>
            <w:r>
              <w:rPr>
                <w:b w:val="false"/>
                <w:bCs w:val="false"/>
                <w:sz w:val="19"/>
                <w:szCs w:val="19"/>
              </w:rPr>
              <w:t xml:space="preserve">5.4×</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22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28.01</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151.16</w:t>
            </w:r>
          </w:p>
        </w:tc>
        <w:tc>
          <w:tcPr>
            <w:tcW w:type="dxa" w:w="2560"/>
            <w:tcMar>
              <w:top w:type="dxa" w:w="50"/>
              <w:left w:type="dxa" w:w="100"/>
              <w:bottom w:type="dxa" w:w="50"/>
              <w:right w:type="dxa" w:w="100"/>
            </w:tcMar>
            <w:vAlign w:val="center"/>
          </w:tcPr>
          <w:p>
            <w:pPr>
              <w:jc w:val="center"/>
            </w:pPr>
            <w:r>
              <w:rPr>
                <w:b w:val="false"/>
                <w:bCs w:val="false"/>
                <w:sz w:val="19"/>
                <w:szCs w:val="19"/>
              </w:rPr>
              <w:t xml:space="preserve">5.4×</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14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2.46</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13.56</w:t>
            </w:r>
          </w:p>
        </w:tc>
        <w:tc>
          <w:tcPr>
            <w:tcW w:type="dxa" w:w="2560"/>
            <w:tcMar>
              <w:top w:type="dxa" w:w="50"/>
              <w:left w:type="dxa" w:w="100"/>
              <w:bottom w:type="dxa" w:w="50"/>
              <w:right w:type="dxa" w:w="100"/>
            </w:tcMar>
            <w:vAlign w:val="center"/>
          </w:tcPr>
          <w:p>
            <w:pPr>
              <w:jc w:val="center"/>
            </w:pPr>
            <w:r>
              <w:rPr>
                <w:b w:val="false"/>
                <w:bCs w:val="false"/>
                <w:sz w:val="19"/>
                <w:szCs w:val="19"/>
              </w:rPr>
              <w:t xml:space="preserve">5.5×</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14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12.32</w:t>
            </w:r>
          </w:p>
        </w:tc>
        <w:tc>
          <w:tcPr>
            <w:tcW w:type="dxa" w:w="2000"/>
            <w:tcMar>
              <w:top w:type="dxa" w:w="50"/>
              <w:left w:type="dxa" w:w="100"/>
              <w:bottom w:type="dxa" w:w="50"/>
              <w:right w:type="dxa" w:w="100"/>
            </w:tcMar>
            <w:vAlign w:val="center"/>
          </w:tcPr>
          <w:p>
            <w:pPr>
              <w:jc w:val="center"/>
            </w:pPr>
            <w:r>
              <w:rPr>
                <w:b w:val="false"/>
                <w:bCs w:val="false"/>
                <w:sz w:val="19"/>
                <w:szCs w:val="19"/>
              </w:rPr>
              <w:t xml:space="preserve">67.81</w:t>
            </w:r>
          </w:p>
        </w:tc>
        <w:tc>
          <w:tcPr>
            <w:tcW w:type="dxa" w:w="2560"/>
            <w:tcMar>
              <w:top w:type="dxa" w:w="50"/>
              <w:left w:type="dxa" w:w="100"/>
              <w:bottom w:type="dxa" w:w="50"/>
              <w:right w:type="dxa" w:w="100"/>
            </w:tcMar>
            <w:vAlign w:val="center"/>
          </w:tcPr>
          <w:p>
            <w:pPr>
              <w:jc w:val="center"/>
            </w:pPr>
            <w:r>
              <w:rPr>
                <w:b w:val="false"/>
                <w:bCs w:val="false"/>
                <w:sz w:val="19"/>
                <w:szCs w:val="19"/>
              </w:rPr>
              <w:t xml:space="preserve">5.5×</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14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24.64</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135.62</w:t>
            </w:r>
          </w:p>
        </w:tc>
        <w:tc>
          <w:tcPr>
            <w:tcW w:type="dxa" w:w="2560"/>
            <w:tcMar>
              <w:top w:type="dxa" w:w="50"/>
              <w:left w:type="dxa" w:w="100"/>
              <w:bottom w:type="dxa" w:w="50"/>
              <w:right w:type="dxa" w:w="100"/>
            </w:tcMar>
            <w:vAlign w:val="center"/>
          </w:tcPr>
          <w:p>
            <w:pPr>
              <w:jc w:val="center"/>
            </w:pPr>
            <w:r>
              <w:rPr>
                <w:b w:val="false"/>
                <w:bCs w:val="false"/>
                <w:sz w:val="19"/>
                <w:szCs w:val="19"/>
              </w:rPr>
              <w:t xml:space="preserve">5.5×</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7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2.16</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11.99</w:t>
            </w:r>
          </w:p>
        </w:tc>
        <w:tc>
          <w:tcPr>
            <w:tcW w:type="dxa" w:w="2560"/>
            <w:tcMar>
              <w:top w:type="dxa" w:w="50"/>
              <w:left w:type="dxa" w:w="100"/>
              <w:bottom w:type="dxa" w:w="50"/>
              <w:right w:type="dxa" w:w="100"/>
            </w:tcMar>
            <w:vAlign w:val="center"/>
          </w:tcPr>
          <w:p>
            <w:pPr>
              <w:jc w:val="center"/>
            </w:pPr>
            <w:r>
              <w:rPr>
                <w:b w:val="false"/>
                <w:bCs w:val="false"/>
                <w:sz w:val="19"/>
                <w:szCs w:val="19"/>
              </w:rPr>
              <w:t xml:space="preserve">5.6×</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7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10.79</w:t>
            </w:r>
          </w:p>
        </w:tc>
        <w:tc>
          <w:tcPr>
            <w:tcW w:type="dxa" w:w="2000"/>
            <w:tcMar>
              <w:top w:type="dxa" w:w="50"/>
              <w:left w:type="dxa" w:w="100"/>
              <w:bottom w:type="dxa" w:w="50"/>
              <w:right w:type="dxa" w:w="100"/>
            </w:tcMar>
            <w:vAlign w:val="center"/>
          </w:tcPr>
          <w:p>
            <w:pPr>
              <w:jc w:val="center"/>
            </w:pPr>
            <w:r>
              <w:rPr>
                <w:b w:val="false"/>
                <w:bCs w:val="false"/>
                <w:sz w:val="19"/>
                <w:szCs w:val="19"/>
              </w:rPr>
              <w:t xml:space="preserve">59.95</w:t>
            </w:r>
          </w:p>
        </w:tc>
        <w:tc>
          <w:tcPr>
            <w:tcW w:type="dxa" w:w="2560"/>
            <w:tcMar>
              <w:top w:type="dxa" w:w="50"/>
              <w:left w:type="dxa" w:w="100"/>
              <w:bottom w:type="dxa" w:w="50"/>
              <w:right w:type="dxa" w:w="100"/>
            </w:tcMar>
            <w:vAlign w:val="center"/>
          </w:tcPr>
          <w:p>
            <w:pPr>
              <w:jc w:val="center"/>
            </w:pPr>
            <w:r>
              <w:rPr>
                <w:b w:val="false"/>
                <w:bCs w:val="false"/>
                <w:sz w:val="19"/>
                <w:szCs w:val="19"/>
              </w:rPr>
              <w:t xml:space="preserve">5.6×</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7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2000"/>
            <w:tcMar>
              <w:top w:type="dxa" w:w="50"/>
              <w:left w:type="dxa" w:w="100"/>
              <w:bottom w:type="dxa" w:w="50"/>
              <w:right w:type="dxa" w:w="100"/>
            </w:tcMar>
            <w:vAlign w:val="center"/>
          </w:tcPr>
          <w:p>
            <w:pPr>
              <w:jc w:val="center"/>
            </w:pPr>
            <w:r>
              <w:rPr>
                <w:b w:val="false"/>
                <w:bCs w:val="false"/>
                <w:sz w:val="19"/>
                <w:szCs w:val="19"/>
              </w:rPr>
              <w:t xml:space="preserve">21.59</w:t>
            </w:r>
          </w:p>
        </w:tc>
        <w:tc>
          <w:tcPr>
            <w:tcW w:type="dxa" w:w="2000"/>
            <w:tcMar>
              <w:top w:type="dxa" w:w="50"/>
              <w:left w:type="dxa" w:w="100"/>
              <w:bottom w:type="dxa" w:w="50"/>
              <w:right w:type="dxa" w:w="100"/>
            </w:tcMar>
            <w:vAlign w:val="center"/>
          </w:tcPr>
          <w:p>
            <w:pPr>
              <w:jc w:val="center"/>
            </w:pPr>
            <w:r>
              <w:rPr>
                <w:b w:val="false"/>
                <w:bCs w:val="false"/>
                <w:sz w:val="19"/>
                <w:szCs w:val="19"/>
              </w:rPr>
              <w:t xml:space="preserve">119.89</w:t>
            </w:r>
          </w:p>
        </w:tc>
        <w:tc>
          <w:tcPr>
            <w:tcW w:type="dxa" w:w="2560"/>
            <w:tcMar>
              <w:top w:type="dxa" w:w="50"/>
              <w:left w:type="dxa" w:w="100"/>
              <w:bottom w:type="dxa" w:w="50"/>
              <w:right w:type="dxa" w:w="100"/>
            </w:tcMar>
            <w:vAlign w:val="center"/>
          </w:tcPr>
          <w:p>
            <w:pPr>
              <w:jc w:val="center"/>
            </w:pPr>
            <w:r>
              <w:rPr>
                <w:b w:val="false"/>
                <w:bCs w:val="false"/>
                <w:sz w:val="19"/>
                <w:szCs w:val="19"/>
              </w:rPr>
              <w:t xml:space="preserve">5.6×</w:t>
            </w:r>
          </w:p>
        </w:tc>
      </w:tr>
    </w:tbl>
    <w:p>
      <w:pPr>
        <w:spacing w:after="160" w:before="60"/>
      </w:pPr>
      <w:r>
        <w:rPr>
          <w:i/>
          <w:iCs/>
          <w:color w:val="555555"/>
          <w:sz w:val="18"/>
          <w:szCs w:val="18"/>
        </w:rPr>
        <w:t xml:space="preserve">Table 5. Total interconnect capacitance, copper vs. SWCNT bundle, across node and length.</w:t>
      </w:r>
    </w:p>
    <w:p>
      <w:pPr>
        <w:pStyle w:val="Heading2"/>
        <w:spacing w:after="140" w:before="320"/>
      </w:pPr>
      <w:r>
        <w:t xml:space="preserve">3. RC Time Constant Analysis</w:t>
      </w:r>
    </w:p>
    <w:p>
      <w:pPr>
        <w:spacing w:after="160" w:line="300"/>
      </w:pPr>
      <w:r>
        <w:rPr>
          <w:i w:val="false"/>
          <w:iCs w:val="false"/>
          <w:sz w:val="22"/>
          <w:szCs w:val="22"/>
        </w:rPr>
        <w:t xml:space="preserve">The RC product (τ = R × C) captures the combined effect of the resistance and capacitance trends above, and is the dominant driver of the propagation delays observed in the circuit-level simulations discussed in Section 4 (Table 6). The CNT/Cu τ ratio shrinks dramatically — from about 265× at 45 nm to roughly 41× at 14 nm and 11.7–11.8× at 7 nm — almost entirely because copper's resistance degrades so rapidly at advanced nodes, not because the CNT bundle itself improves. Copper remains the faster interconnect in every case studied, but its performance lead over CNTs erodes by more than an order of magnitude across the 45-to-7 nm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100"/>
        <w:gridCol w:w="2100"/>
        <w:gridCol w:w="2360"/>
      </w:tblGrid>
      <w:tr>
        <w:trPr>
          <w:tblHeader/>
        </w:trPr>
        <w:tc>
          <w:tcPr>
            <w:tcW w:type="dxa" w:w="1400"/>
            <w:shd w:fill="DCE6F1" w:color="auto" w:val="clear"/>
            <w:tcMar>
              <w:top w:type="dxa" w:w="60"/>
              <w:left w:type="dxa" w:w="100"/>
              <w:bottom w:type="dxa" w:w="60"/>
              <w:right w:type="dxa" w:w="100"/>
            </w:tcMar>
            <w:vAlign w:val="center"/>
          </w:tcPr>
          <w:p>
            <w:pPr>
              <w:jc w:val="center"/>
            </w:pPr>
            <w:r>
              <w:rPr>
                <w:b/>
                <w:bCs/>
                <w:color w:val="1F4E79"/>
                <w:sz w:val="19"/>
                <w:szCs w:val="19"/>
              </w:rPr>
              <w:t xml:space="preserve">Node</w:t>
            </w:r>
          </w:p>
        </w:tc>
        <w:tc>
          <w:tcPr>
            <w:tcW w:type="dxa" w:w="1400"/>
            <w:shd w:fill="DCE6F1" w:color="auto" w:val="clear"/>
            <w:tcMar>
              <w:top w:type="dxa" w:w="60"/>
              <w:left w:type="dxa" w:w="100"/>
              <w:bottom w:type="dxa" w:w="60"/>
              <w:right w:type="dxa" w:w="100"/>
            </w:tcMar>
            <w:vAlign w:val="center"/>
          </w:tcPr>
          <w:p>
            <w:pPr>
              <w:jc w:val="center"/>
            </w:pPr>
            <w:r>
              <w:rPr>
                <w:b/>
                <w:bCs/>
                <w:color w:val="1F4E79"/>
                <w:sz w:val="19"/>
                <w:szCs w:val="19"/>
              </w:rPr>
              <w:t xml:space="preserve">Length (μm)</w:t>
            </w:r>
          </w:p>
        </w:tc>
        <w:tc>
          <w:tcPr>
            <w:tcW w:type="dxa" w:w="2100"/>
            <w:shd w:fill="DCE6F1" w:color="auto" w:val="clear"/>
            <w:tcMar>
              <w:top w:type="dxa" w:w="60"/>
              <w:left w:type="dxa" w:w="100"/>
              <w:bottom w:type="dxa" w:w="60"/>
              <w:right w:type="dxa" w:w="100"/>
            </w:tcMar>
            <w:vAlign w:val="center"/>
          </w:tcPr>
          <w:p>
            <w:pPr>
              <w:jc w:val="center"/>
            </w:pPr>
            <w:r>
              <w:rPr>
                <w:b/>
                <w:bCs/>
                <w:color w:val="1F4E79"/>
                <w:sz w:val="19"/>
                <w:szCs w:val="19"/>
              </w:rPr>
              <w:t xml:space="preserve">Cu τ (ps)</w:t>
            </w:r>
          </w:p>
        </w:tc>
        <w:tc>
          <w:tcPr>
            <w:tcW w:type="dxa" w:w="2100"/>
            <w:shd w:fill="DCE6F1" w:color="auto" w:val="clear"/>
            <w:tcMar>
              <w:top w:type="dxa" w:w="60"/>
              <w:left w:type="dxa" w:w="100"/>
              <w:bottom w:type="dxa" w:w="60"/>
              <w:right w:type="dxa" w:w="100"/>
            </w:tcMar>
            <w:vAlign w:val="center"/>
          </w:tcPr>
          <w:p>
            <w:pPr>
              <w:jc w:val="center"/>
            </w:pPr>
            <w:r>
              <w:rPr>
                <w:b/>
                <w:bCs/>
                <w:color w:val="1F4E79"/>
                <w:sz w:val="19"/>
                <w:szCs w:val="19"/>
              </w:rPr>
              <w:t xml:space="preserve">CNT τ (ps)</w:t>
            </w:r>
          </w:p>
        </w:tc>
        <w:tc>
          <w:tcPr>
            <w:tcW w:type="dxa" w:w="2360"/>
            <w:shd w:fill="DCE6F1" w:color="auto" w:val="clear"/>
            <w:tcMar>
              <w:top w:type="dxa" w:w="60"/>
              <w:left w:type="dxa" w:w="100"/>
              <w:bottom w:type="dxa" w:w="60"/>
              <w:right w:type="dxa" w:w="100"/>
            </w:tcMar>
            <w:vAlign w:val="center"/>
          </w:tcPr>
          <w:p>
            <w:pPr>
              <w:jc w:val="center"/>
            </w:pPr>
            <w:r>
              <w:rPr>
                <w:b/>
                <w:bCs/>
                <w:color w:val="1F4E79"/>
                <w:sz w:val="19"/>
                <w:szCs w:val="19"/>
              </w:rPr>
              <w:t xml:space="preserve">CNT/Cu Ratio</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45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2100"/>
            <w:tcMar>
              <w:top w:type="dxa" w:w="50"/>
              <w:left w:type="dxa" w:w="100"/>
              <w:bottom w:type="dxa" w:w="50"/>
              <w:right w:type="dxa" w:w="100"/>
            </w:tcMar>
            <w:vAlign w:val="center"/>
          </w:tcPr>
          <w:p>
            <w:pPr>
              <w:jc w:val="center"/>
            </w:pPr>
            <w:r>
              <w:rPr>
                <w:b w:val="false"/>
                <w:bCs w:val="false"/>
                <w:sz w:val="19"/>
                <w:szCs w:val="19"/>
              </w:rPr>
              <w:t xml:space="preserve">2.88</w:t>
            </w:r>
          </w:p>
        </w:tc>
        <w:tc>
          <w:tcPr>
            <w:tcW w:type="dxa" w:w="2100"/>
            <w:tcMar>
              <w:top w:type="dxa" w:w="50"/>
              <w:left w:type="dxa" w:w="100"/>
              <w:bottom w:type="dxa" w:w="50"/>
              <w:right w:type="dxa" w:w="100"/>
            </w:tcMar>
            <w:vAlign w:val="center"/>
          </w:tcPr>
          <w:p>
            <w:pPr>
              <w:jc w:val="center"/>
            </w:pPr>
            <w:r>
              <w:rPr>
                <w:b w:val="false"/>
                <w:bCs w:val="false"/>
                <w:sz w:val="19"/>
                <w:szCs w:val="19"/>
              </w:rPr>
              <w:t xml:space="preserve">763.6</w:t>
            </w:r>
          </w:p>
        </w:tc>
        <w:tc>
          <w:tcPr>
            <w:tcW w:type="dxa" w:w="2360"/>
            <w:tcMar>
              <w:top w:type="dxa" w:w="50"/>
              <w:left w:type="dxa" w:w="100"/>
              <w:bottom w:type="dxa" w:w="50"/>
              <w:right w:type="dxa" w:w="100"/>
            </w:tcMar>
            <w:vAlign w:val="center"/>
          </w:tcPr>
          <w:p>
            <w:pPr>
              <w:jc w:val="center"/>
            </w:pPr>
            <w:r>
              <w:rPr>
                <w:b w:val="false"/>
                <w:bCs w:val="false"/>
                <w:sz w:val="19"/>
                <w:szCs w:val="19"/>
              </w:rPr>
              <w:t xml:space="preserve">265×</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45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2100"/>
            <w:tcMar>
              <w:top w:type="dxa" w:w="50"/>
              <w:left w:type="dxa" w:w="100"/>
              <w:bottom w:type="dxa" w:w="50"/>
              <w:right w:type="dxa" w:w="100"/>
            </w:tcMar>
            <w:vAlign w:val="center"/>
          </w:tcPr>
          <w:p>
            <w:pPr>
              <w:jc w:val="center"/>
            </w:pPr>
            <w:r>
              <w:rPr>
                <w:b w:val="false"/>
                <w:bCs w:val="false"/>
                <w:sz w:val="19"/>
                <w:szCs w:val="19"/>
              </w:rPr>
              <w:t xml:space="preserve">72.0</w:t>
            </w:r>
          </w:p>
        </w:tc>
        <w:tc>
          <w:tcPr>
            <w:tcW w:type="dxa" w:w="2100"/>
            <w:tcMar>
              <w:top w:type="dxa" w:w="50"/>
              <w:left w:type="dxa" w:w="100"/>
              <w:bottom w:type="dxa" w:w="50"/>
              <w:right w:type="dxa" w:w="100"/>
            </w:tcMar>
            <w:vAlign w:val="center"/>
          </w:tcPr>
          <w:p>
            <w:pPr>
              <w:jc w:val="center"/>
            </w:pPr>
            <w:r>
              <w:rPr>
                <w:b w:val="false"/>
                <w:bCs w:val="false"/>
                <w:sz w:val="19"/>
                <w:szCs w:val="19"/>
              </w:rPr>
              <w:t xml:space="preserve">19,074</w:t>
            </w:r>
          </w:p>
        </w:tc>
        <w:tc>
          <w:tcPr>
            <w:tcW w:type="dxa" w:w="2360"/>
            <w:tcMar>
              <w:top w:type="dxa" w:w="50"/>
              <w:left w:type="dxa" w:w="100"/>
              <w:bottom w:type="dxa" w:w="50"/>
              <w:right w:type="dxa" w:w="100"/>
            </w:tcMar>
            <w:vAlign w:val="center"/>
          </w:tcPr>
          <w:p>
            <w:pPr>
              <w:jc w:val="center"/>
            </w:pPr>
            <w:r>
              <w:rPr>
                <w:b w:val="false"/>
                <w:bCs w:val="false"/>
                <w:sz w:val="19"/>
                <w:szCs w:val="19"/>
              </w:rPr>
              <w:t xml:space="preserve">265×</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45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2100"/>
            <w:tcMar>
              <w:top w:type="dxa" w:w="50"/>
              <w:left w:type="dxa" w:w="100"/>
              <w:bottom w:type="dxa" w:w="50"/>
              <w:right w:type="dxa" w:w="100"/>
            </w:tcMar>
            <w:vAlign w:val="center"/>
          </w:tcPr>
          <w:p>
            <w:pPr>
              <w:jc w:val="center"/>
            </w:pPr>
            <w:r>
              <w:rPr>
                <w:b w:val="false"/>
                <w:bCs w:val="false"/>
                <w:sz w:val="19"/>
                <w:szCs w:val="19"/>
              </w:rPr>
              <w:t xml:space="preserve">288</w:t>
            </w:r>
          </w:p>
        </w:tc>
        <w:tc>
          <w:tcPr>
            <w:tcW w:type="dxa" w:w="2100"/>
            <w:tcMar>
              <w:top w:type="dxa" w:w="50"/>
              <w:left w:type="dxa" w:w="100"/>
              <w:bottom w:type="dxa" w:w="50"/>
              <w:right w:type="dxa" w:w="100"/>
            </w:tcMar>
            <w:vAlign w:val="center"/>
          </w:tcPr>
          <w:p>
            <w:pPr>
              <w:jc w:val="center"/>
            </w:pPr>
            <w:r>
              <w:rPr>
                <w:b w:val="false"/>
                <w:bCs w:val="false"/>
                <w:sz w:val="19"/>
                <w:szCs w:val="19"/>
              </w:rPr>
              <w:t xml:space="preserve">76,297</w:t>
            </w:r>
          </w:p>
        </w:tc>
        <w:tc>
          <w:tcPr>
            <w:tcW w:type="dxa" w:w="2360"/>
            <w:tcMar>
              <w:top w:type="dxa" w:w="50"/>
              <w:left w:type="dxa" w:w="100"/>
              <w:bottom w:type="dxa" w:w="50"/>
              <w:right w:type="dxa" w:w="100"/>
            </w:tcMar>
            <w:vAlign w:val="center"/>
          </w:tcPr>
          <w:p>
            <w:pPr>
              <w:jc w:val="center"/>
            </w:pPr>
            <w:r>
              <w:rPr>
                <w:b w:val="false"/>
                <w:bCs w:val="false"/>
                <w:sz w:val="19"/>
                <w:szCs w:val="19"/>
              </w:rPr>
              <w:t xml:space="preserve">265×</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14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2100"/>
            <w:tcMar>
              <w:top w:type="dxa" w:w="50"/>
              <w:left w:type="dxa" w:w="100"/>
              <w:bottom w:type="dxa" w:w="50"/>
              <w:right w:type="dxa" w:w="100"/>
            </w:tcMar>
            <w:vAlign w:val="center"/>
          </w:tcPr>
          <w:p>
            <w:pPr>
              <w:jc w:val="center"/>
            </w:pPr>
            <w:r>
              <w:rPr>
                <w:b w:val="false"/>
                <w:bCs w:val="false"/>
                <w:sz w:val="19"/>
                <w:szCs w:val="19"/>
              </w:rPr>
              <w:t xml:space="preserve">68.9</w:t>
            </w:r>
          </w:p>
        </w:tc>
        <w:tc>
          <w:tcPr>
            <w:tcW w:type="dxa" w:w="2100"/>
            <w:tcMar>
              <w:top w:type="dxa" w:w="50"/>
              <w:left w:type="dxa" w:w="100"/>
              <w:bottom w:type="dxa" w:w="50"/>
              <w:right w:type="dxa" w:w="100"/>
            </w:tcMar>
            <w:vAlign w:val="center"/>
          </w:tcPr>
          <w:p>
            <w:pPr>
              <w:jc w:val="center"/>
            </w:pPr>
            <w:r>
              <w:rPr>
                <w:b w:val="false"/>
                <w:bCs w:val="false"/>
                <w:sz w:val="19"/>
                <w:szCs w:val="19"/>
              </w:rPr>
              <w:t xml:space="preserve">2,832</w:t>
            </w:r>
          </w:p>
        </w:tc>
        <w:tc>
          <w:tcPr>
            <w:tcW w:type="dxa" w:w="2360"/>
            <w:tcMar>
              <w:top w:type="dxa" w:w="50"/>
              <w:left w:type="dxa" w:w="100"/>
              <w:bottom w:type="dxa" w:w="50"/>
              <w:right w:type="dxa" w:w="100"/>
            </w:tcMar>
            <w:vAlign w:val="center"/>
          </w:tcPr>
          <w:p>
            <w:pPr>
              <w:jc w:val="center"/>
            </w:pPr>
            <w:r>
              <w:rPr>
                <w:b w:val="false"/>
                <w:bCs w:val="false"/>
                <w:sz w:val="19"/>
                <w:szCs w:val="19"/>
              </w:rPr>
              <w:t xml:space="preserve">41.1×</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14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2100"/>
            <w:tcMar>
              <w:top w:type="dxa" w:w="50"/>
              <w:left w:type="dxa" w:w="100"/>
              <w:bottom w:type="dxa" w:w="50"/>
              <w:right w:type="dxa" w:w="100"/>
            </w:tcMar>
            <w:vAlign w:val="center"/>
          </w:tcPr>
          <w:p>
            <w:pPr>
              <w:jc w:val="center"/>
            </w:pPr>
            <w:r>
              <w:rPr>
                <w:b w:val="false"/>
                <w:bCs w:val="false"/>
                <w:sz w:val="19"/>
                <w:szCs w:val="19"/>
              </w:rPr>
              <w:t xml:space="preserve">1,725</w:t>
            </w:r>
          </w:p>
        </w:tc>
        <w:tc>
          <w:tcPr>
            <w:tcW w:type="dxa" w:w="2100"/>
            <w:tcMar>
              <w:top w:type="dxa" w:w="50"/>
              <w:left w:type="dxa" w:w="100"/>
              <w:bottom w:type="dxa" w:w="50"/>
              <w:right w:type="dxa" w:w="100"/>
            </w:tcMar>
            <w:vAlign w:val="center"/>
          </w:tcPr>
          <w:p>
            <w:pPr>
              <w:jc w:val="center"/>
            </w:pPr>
            <w:r>
              <w:rPr>
                <w:b w:val="false"/>
                <w:bCs w:val="false"/>
                <w:sz w:val="19"/>
                <w:szCs w:val="19"/>
              </w:rPr>
              <w:t xml:space="preserve">70,726</w:t>
            </w:r>
          </w:p>
        </w:tc>
        <w:tc>
          <w:tcPr>
            <w:tcW w:type="dxa" w:w="2360"/>
            <w:tcMar>
              <w:top w:type="dxa" w:w="50"/>
              <w:left w:type="dxa" w:w="100"/>
              <w:bottom w:type="dxa" w:w="50"/>
              <w:right w:type="dxa" w:w="100"/>
            </w:tcMar>
            <w:vAlign w:val="center"/>
          </w:tcPr>
          <w:p>
            <w:pPr>
              <w:jc w:val="center"/>
            </w:pPr>
            <w:r>
              <w:rPr>
                <w:b w:val="false"/>
                <w:bCs w:val="false"/>
                <w:sz w:val="19"/>
                <w:szCs w:val="19"/>
              </w:rPr>
              <w:t xml:space="preserve">41.0×</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14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2100"/>
            <w:tcMar>
              <w:top w:type="dxa" w:w="50"/>
              <w:left w:type="dxa" w:w="100"/>
              <w:bottom w:type="dxa" w:w="50"/>
              <w:right w:type="dxa" w:w="100"/>
            </w:tcMar>
            <w:vAlign w:val="center"/>
          </w:tcPr>
          <w:p>
            <w:pPr>
              <w:jc w:val="center"/>
            </w:pPr>
            <w:r>
              <w:rPr>
                <w:b w:val="false"/>
                <w:bCs w:val="false"/>
                <w:sz w:val="19"/>
                <w:szCs w:val="19"/>
              </w:rPr>
              <w:t xml:space="preserve">6,900</w:t>
            </w:r>
          </w:p>
        </w:tc>
        <w:tc>
          <w:tcPr>
            <w:tcW w:type="dxa" w:w="2100"/>
            <w:tcMar>
              <w:top w:type="dxa" w:w="50"/>
              <w:left w:type="dxa" w:w="100"/>
              <w:bottom w:type="dxa" w:w="50"/>
              <w:right w:type="dxa" w:w="100"/>
            </w:tcMar>
            <w:vAlign w:val="center"/>
          </w:tcPr>
          <w:p>
            <w:pPr>
              <w:jc w:val="center"/>
            </w:pPr>
            <w:r>
              <w:rPr>
                <w:b w:val="false"/>
                <w:bCs w:val="false"/>
                <w:sz w:val="19"/>
                <w:szCs w:val="19"/>
              </w:rPr>
              <w:t xml:space="preserve">282,904</w:t>
            </w:r>
          </w:p>
        </w:tc>
        <w:tc>
          <w:tcPr>
            <w:tcW w:type="dxa" w:w="2360"/>
            <w:tcMar>
              <w:top w:type="dxa" w:w="50"/>
              <w:left w:type="dxa" w:w="100"/>
              <w:bottom w:type="dxa" w:w="50"/>
              <w:right w:type="dxa" w:w="100"/>
            </w:tcMar>
            <w:vAlign w:val="center"/>
          </w:tcPr>
          <w:p>
            <w:pPr>
              <w:jc w:val="center"/>
            </w:pPr>
            <w:r>
              <w:rPr>
                <w:b w:val="false"/>
                <w:bCs w:val="false"/>
                <w:sz w:val="19"/>
                <w:szCs w:val="19"/>
              </w:rPr>
              <w:t xml:space="preserve">41.0×</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7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2100"/>
            <w:tcMar>
              <w:top w:type="dxa" w:w="50"/>
              <w:left w:type="dxa" w:w="100"/>
              <w:bottom w:type="dxa" w:w="50"/>
              <w:right w:type="dxa" w:w="100"/>
            </w:tcMar>
            <w:vAlign w:val="center"/>
          </w:tcPr>
          <w:p>
            <w:pPr>
              <w:jc w:val="center"/>
            </w:pPr>
            <w:r>
              <w:rPr>
                <w:b w:val="false"/>
                <w:bCs w:val="false"/>
                <w:sz w:val="19"/>
                <w:szCs w:val="19"/>
              </w:rPr>
              <w:t xml:space="preserve">559</w:t>
            </w:r>
          </w:p>
        </w:tc>
        <w:tc>
          <w:tcPr>
            <w:tcW w:type="dxa" w:w="2100"/>
            <w:tcMar>
              <w:top w:type="dxa" w:w="50"/>
              <w:left w:type="dxa" w:w="100"/>
              <w:bottom w:type="dxa" w:w="50"/>
              <w:right w:type="dxa" w:w="100"/>
            </w:tcMar>
            <w:vAlign w:val="center"/>
          </w:tcPr>
          <w:p>
            <w:pPr>
              <w:jc w:val="center"/>
            </w:pPr>
            <w:r>
              <w:rPr>
                <w:b w:val="false"/>
                <w:bCs w:val="false"/>
                <w:sz w:val="19"/>
                <w:szCs w:val="19"/>
              </w:rPr>
              <w:t xml:space="preserve">6,571</w:t>
            </w:r>
          </w:p>
        </w:tc>
        <w:tc>
          <w:tcPr>
            <w:tcW w:type="dxa" w:w="2360"/>
            <w:tcMar>
              <w:top w:type="dxa" w:w="50"/>
              <w:left w:type="dxa" w:w="100"/>
              <w:bottom w:type="dxa" w:w="50"/>
              <w:right w:type="dxa" w:w="100"/>
            </w:tcMar>
            <w:vAlign w:val="center"/>
          </w:tcPr>
          <w:p>
            <w:pPr>
              <w:jc w:val="center"/>
            </w:pPr>
            <w:r>
              <w:rPr>
                <w:b w:val="false"/>
                <w:bCs w:val="false"/>
                <w:sz w:val="19"/>
                <w:szCs w:val="19"/>
              </w:rPr>
              <w:t xml:space="preserve">11.8×</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7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2100"/>
            <w:tcMar>
              <w:top w:type="dxa" w:w="50"/>
              <w:left w:type="dxa" w:w="100"/>
              <w:bottom w:type="dxa" w:w="50"/>
              <w:right w:type="dxa" w:w="100"/>
            </w:tcMar>
            <w:vAlign w:val="center"/>
          </w:tcPr>
          <w:p>
            <w:pPr>
              <w:jc w:val="center"/>
            </w:pPr>
            <w:r>
              <w:rPr>
                <w:b w:val="false"/>
                <w:bCs w:val="false"/>
                <w:sz w:val="19"/>
                <w:szCs w:val="19"/>
              </w:rPr>
              <w:t xml:space="preserve">13,972</w:t>
            </w:r>
          </w:p>
        </w:tc>
        <w:tc>
          <w:tcPr>
            <w:tcW w:type="dxa" w:w="2100"/>
            <w:tcMar>
              <w:top w:type="dxa" w:w="50"/>
              <w:left w:type="dxa" w:w="100"/>
              <w:bottom w:type="dxa" w:w="50"/>
              <w:right w:type="dxa" w:w="100"/>
            </w:tcMar>
            <w:vAlign w:val="center"/>
          </w:tcPr>
          <w:p>
            <w:pPr>
              <w:jc w:val="center"/>
            </w:pPr>
            <w:r>
              <w:rPr>
                <w:b w:val="false"/>
                <w:bCs w:val="false"/>
                <w:sz w:val="19"/>
                <w:szCs w:val="19"/>
              </w:rPr>
              <w:t xml:space="preserve">164,145</w:t>
            </w:r>
          </w:p>
        </w:tc>
        <w:tc>
          <w:tcPr>
            <w:tcW w:type="dxa" w:w="2360"/>
            <w:tcMar>
              <w:top w:type="dxa" w:w="50"/>
              <w:left w:type="dxa" w:w="100"/>
              <w:bottom w:type="dxa" w:w="50"/>
              <w:right w:type="dxa" w:w="100"/>
            </w:tcMar>
            <w:vAlign w:val="center"/>
          </w:tcPr>
          <w:p>
            <w:pPr>
              <w:jc w:val="center"/>
            </w:pPr>
            <w:r>
              <w:rPr>
                <w:b w:val="false"/>
                <w:bCs w:val="false"/>
                <w:sz w:val="19"/>
                <w:szCs w:val="19"/>
              </w:rPr>
              <w:t xml:space="preserve">11.7×</w:t>
            </w:r>
          </w:p>
        </w:tc>
      </w:tr>
      <w:tr>
        <w:tc>
          <w:tcPr>
            <w:tcW w:type="dxa" w:w="1400"/>
            <w:tcMar>
              <w:top w:type="dxa" w:w="50"/>
              <w:left w:type="dxa" w:w="100"/>
              <w:bottom w:type="dxa" w:w="50"/>
              <w:right w:type="dxa" w:w="100"/>
            </w:tcMar>
            <w:vAlign w:val="center"/>
          </w:tcPr>
          <w:p>
            <w:pPr>
              <w:jc w:val="left"/>
            </w:pPr>
            <w:r>
              <w:rPr>
                <w:b w:val="false"/>
                <w:bCs w:val="false"/>
                <w:sz w:val="19"/>
                <w:szCs w:val="19"/>
              </w:rPr>
              <w:t xml:space="preserve">7 nm</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2100"/>
            <w:tcMar>
              <w:top w:type="dxa" w:w="50"/>
              <w:left w:type="dxa" w:w="100"/>
              <w:bottom w:type="dxa" w:w="50"/>
              <w:right w:type="dxa" w:w="100"/>
            </w:tcMar>
            <w:vAlign w:val="center"/>
          </w:tcPr>
          <w:p>
            <w:pPr>
              <w:jc w:val="center"/>
            </w:pPr>
            <w:r>
              <w:rPr>
                <w:b w:val="false"/>
                <w:bCs w:val="false"/>
                <w:sz w:val="19"/>
                <w:szCs w:val="19"/>
              </w:rPr>
              <w:t xml:space="preserve">55,887</w:t>
            </w:r>
          </w:p>
        </w:tc>
        <w:tc>
          <w:tcPr>
            <w:tcW w:type="dxa" w:w="2100"/>
            <w:tcMar>
              <w:top w:type="dxa" w:w="50"/>
              <w:left w:type="dxa" w:w="100"/>
              <w:bottom w:type="dxa" w:w="50"/>
              <w:right w:type="dxa" w:w="100"/>
            </w:tcMar>
            <w:vAlign w:val="center"/>
          </w:tcPr>
          <w:p>
            <w:pPr>
              <w:jc w:val="center"/>
            </w:pPr>
            <w:r>
              <w:rPr>
                <w:b w:val="false"/>
                <w:bCs w:val="false"/>
                <w:sz w:val="19"/>
                <w:szCs w:val="19"/>
              </w:rPr>
              <w:t xml:space="preserve">656,291</w:t>
            </w:r>
          </w:p>
        </w:tc>
        <w:tc>
          <w:tcPr>
            <w:tcW w:type="dxa" w:w="2360"/>
            <w:tcMar>
              <w:top w:type="dxa" w:w="50"/>
              <w:left w:type="dxa" w:w="100"/>
              <w:bottom w:type="dxa" w:w="50"/>
              <w:right w:type="dxa" w:w="100"/>
            </w:tcMar>
            <w:vAlign w:val="center"/>
          </w:tcPr>
          <w:p>
            <w:pPr>
              <w:jc w:val="center"/>
            </w:pPr>
            <w:r>
              <w:rPr>
                <w:b w:val="false"/>
                <w:bCs w:val="false"/>
                <w:sz w:val="19"/>
                <w:szCs w:val="19"/>
              </w:rPr>
              <w:t xml:space="preserve">11.7×</w:t>
            </w:r>
          </w:p>
        </w:tc>
      </w:tr>
    </w:tbl>
    <w:p>
      <w:pPr>
        <w:spacing w:after="160" w:before="60"/>
      </w:pPr>
      <w:r>
        <w:rPr>
          <w:i/>
          <w:iCs/>
          <w:color w:val="555555"/>
          <w:sz w:val="18"/>
          <w:szCs w:val="18"/>
        </w:rPr>
        <w:t xml:space="preserve">Table 6. RC time constant, copper vs. SWCNT bundle, at 45 nm, 14 nm, and 7 nm.</w:t>
      </w:r>
    </w:p>
    <w:p>
      <w:pPr>
        <w:pStyle w:val="Heading2"/>
        <w:spacing w:after="140" w:before="320"/>
      </w:pPr>
      <w:r>
        <w:t xml:space="preserve">4. Circuit-Level Simulation Results</w:t>
      </w:r>
    </w:p>
    <w:p>
      <w:pPr>
        <w:spacing w:after="160" w:line="300"/>
      </w:pPr>
      <w:r>
        <w:rPr>
          <w:i w:val="false"/>
          <w:iCs w:val="false"/>
          <w:sz w:val="22"/>
          <w:szCs w:val="22"/>
        </w:rPr>
        <w:t xml:space="preserve">Extracted R, L, and C values were embedded as LTspice parameters and exercised in two test circuits at fixed 90 nm CMOS device sizing, so that any change in delay or signal quality is attributable to the interconnect alone: a two-stage inverter chain, which isolates the wire's own contribution to propagation delay, and a 4-bit ripple-carry adder (RCA), in which the interconnect is inserted into the internal carry chain so that delay accumulates across three cascaded segments.</w:t>
      </w:r>
    </w:p>
    <w:p>
      <w:pPr>
        <w:pStyle w:val="Heading3"/>
        <w:spacing w:after="100" w:before="220"/>
      </w:pPr>
      <w:r>
        <w:t xml:space="preserve">4.1 CMOS Inverter Chain — Propagation Delay</w:t>
      </w:r>
    </w:p>
    <w:p>
      <w:pPr>
        <w:spacing w:after="160" w:line="300"/>
      </w:pPr>
      <w:r>
        <w:rPr>
          <w:i w:val="false"/>
          <w:iCs w:val="false"/>
          <w:sz w:val="22"/>
          <w:szCs w:val="22"/>
        </w:rPr>
        <w:t xml:space="preserve">Table 7 reports the approximate 50%-crossing propagation delay for each node/length/material combination. The worst relative case occurs at 45 nm/1000 μm, where the CNT delay (≈450 ns) is roughly 120× slower than copper (≈3.7 ns) — the 45 nm bundle has the largest number of metallic tubes of any node studied, yet its resistance is still overwhelmingly dominated by the fixed quantum/contact term. At the opposite extreme, at 7 nm/1000 μm both materials fall into the microsecond range (≈3.48 μs for Cu, ≈10.87 μs for CNT), indicating a fundamental interconnect bottleneck at this combination of node and length that neither material resolves.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480"/>
        <w:gridCol w:w="3480"/>
      </w:tblGrid>
      <w:tr>
        <w:trPr>
          <w:tblHeader/>
        </w:trPr>
        <w:tc>
          <w:tcPr>
            <w:tcW w:type="dxa" w:w="1200"/>
            <w:shd w:fill="DCE6F1" w:color="auto" w:val="clear"/>
            <w:tcMar>
              <w:top w:type="dxa" w:w="60"/>
              <w:left w:type="dxa" w:w="100"/>
              <w:bottom w:type="dxa" w:w="60"/>
              <w:right w:type="dxa" w:w="100"/>
            </w:tcMar>
            <w:vAlign w:val="center"/>
          </w:tcPr>
          <w:p>
            <w:pPr>
              <w:jc w:val="center"/>
            </w:pPr>
            <w:r>
              <w:rPr>
                <w:b/>
                <w:bCs/>
                <w:color w:val="1F4E79"/>
                <w:sz w:val="19"/>
                <w:szCs w:val="19"/>
              </w:rPr>
              <w:t xml:space="preserve">Node</w:t>
            </w:r>
          </w:p>
        </w:tc>
        <w:tc>
          <w:tcPr>
            <w:tcW w:type="dxa" w:w="1200"/>
            <w:shd w:fill="DCE6F1" w:color="auto" w:val="clear"/>
            <w:tcMar>
              <w:top w:type="dxa" w:w="60"/>
              <w:left w:type="dxa" w:w="100"/>
              <w:bottom w:type="dxa" w:w="60"/>
              <w:right w:type="dxa" w:w="100"/>
            </w:tcMar>
            <w:vAlign w:val="center"/>
          </w:tcPr>
          <w:p>
            <w:pPr>
              <w:jc w:val="center"/>
            </w:pPr>
            <w:r>
              <w:rPr>
                <w:b/>
                <w:bCs/>
                <w:color w:val="1F4E79"/>
                <w:sz w:val="19"/>
                <w:szCs w:val="19"/>
              </w:rPr>
              <w:t xml:space="preserve">Length (μm)</w:t>
            </w:r>
          </w:p>
        </w:tc>
        <w:tc>
          <w:tcPr>
            <w:tcW w:type="dxa" w:w="3480"/>
            <w:shd w:fill="DCE6F1" w:color="auto" w:val="clear"/>
            <w:tcMar>
              <w:top w:type="dxa" w:w="60"/>
              <w:left w:type="dxa" w:w="100"/>
              <w:bottom w:type="dxa" w:w="60"/>
              <w:right w:type="dxa" w:w="100"/>
            </w:tcMar>
            <w:vAlign w:val="center"/>
          </w:tcPr>
          <w:p>
            <w:pPr>
              <w:jc w:val="center"/>
            </w:pPr>
            <w:r>
              <w:rPr>
                <w:b/>
                <w:bCs/>
                <w:color w:val="1F4E79"/>
                <w:sz w:val="19"/>
                <w:szCs w:val="19"/>
              </w:rPr>
              <w:t xml:space="preserve">Cu Delay (≈50%)</w:t>
            </w:r>
          </w:p>
        </w:tc>
        <w:tc>
          <w:tcPr>
            <w:tcW w:type="dxa" w:w="3480"/>
            <w:shd w:fill="DCE6F1" w:color="auto" w:val="clear"/>
            <w:tcMar>
              <w:top w:type="dxa" w:w="60"/>
              <w:left w:type="dxa" w:w="100"/>
              <w:bottom w:type="dxa" w:w="60"/>
              <w:right w:type="dxa" w:w="100"/>
            </w:tcMar>
            <w:vAlign w:val="center"/>
          </w:tcPr>
          <w:p>
            <w:pPr>
              <w:jc w:val="center"/>
            </w:pPr>
            <w:r>
              <w:rPr>
                <w:b/>
                <w:bCs/>
                <w:color w:val="1F4E79"/>
                <w:sz w:val="19"/>
                <w:szCs w:val="19"/>
              </w:rPr>
              <w:t xml:space="preserve">CNT Delay (≈50%)</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45 nm</w:t>
            </w:r>
          </w:p>
        </w:tc>
        <w:tc>
          <w:tcPr>
            <w:tcW w:type="dxa" w:w="12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3480"/>
            <w:tcMar>
              <w:top w:type="dxa" w:w="50"/>
              <w:left w:type="dxa" w:w="100"/>
              <w:bottom w:type="dxa" w:w="50"/>
              <w:right w:type="dxa" w:w="100"/>
            </w:tcMar>
            <w:vAlign w:val="center"/>
          </w:tcPr>
          <w:p>
            <w:pPr>
              <w:jc w:val="center"/>
            </w:pPr>
            <w:r>
              <w:rPr>
                <w:b w:val="false"/>
                <w:bCs w:val="false"/>
                <w:sz w:val="19"/>
                <w:szCs w:val="19"/>
              </w:rPr>
              <w:t xml:space="preserve">~5.5 ns</w:t>
            </w:r>
          </w:p>
        </w:tc>
        <w:tc>
          <w:tcPr>
            <w:tcW w:type="dxa" w:w="3480"/>
            <w:tcMar>
              <w:top w:type="dxa" w:w="50"/>
              <w:left w:type="dxa" w:w="100"/>
              <w:bottom w:type="dxa" w:w="50"/>
              <w:right w:type="dxa" w:w="100"/>
            </w:tcMar>
            <w:vAlign w:val="center"/>
          </w:tcPr>
          <w:p>
            <w:pPr>
              <w:jc w:val="center"/>
            </w:pPr>
            <w:r>
              <w:rPr>
                <w:b w:val="false"/>
                <w:bCs w:val="false"/>
                <w:sz w:val="19"/>
                <w:szCs w:val="19"/>
              </w:rPr>
              <w:t xml:space="preserve">~11.5 ns</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45 nm</w:t>
            </w:r>
          </w:p>
        </w:tc>
        <w:tc>
          <w:tcPr>
            <w:tcW w:type="dxa" w:w="12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3480"/>
            <w:tcMar>
              <w:top w:type="dxa" w:w="50"/>
              <w:left w:type="dxa" w:w="100"/>
              <w:bottom w:type="dxa" w:w="50"/>
              <w:right w:type="dxa" w:w="100"/>
            </w:tcMar>
            <w:vAlign w:val="center"/>
          </w:tcPr>
          <w:p>
            <w:pPr>
              <w:jc w:val="center"/>
            </w:pPr>
            <w:r>
              <w:rPr>
                <w:b w:val="false"/>
                <w:bCs w:val="false"/>
                <w:sz w:val="19"/>
                <w:szCs w:val="19"/>
              </w:rPr>
              <w:t xml:space="preserve">~4.7 ns</w:t>
            </w:r>
          </w:p>
        </w:tc>
        <w:tc>
          <w:tcPr>
            <w:tcW w:type="dxa" w:w="3480"/>
            <w:tcMar>
              <w:top w:type="dxa" w:w="50"/>
              <w:left w:type="dxa" w:w="100"/>
              <w:bottom w:type="dxa" w:w="50"/>
              <w:right w:type="dxa" w:w="100"/>
            </w:tcMar>
            <w:vAlign w:val="center"/>
          </w:tcPr>
          <w:p>
            <w:pPr>
              <w:jc w:val="center"/>
            </w:pPr>
            <w:r>
              <w:rPr>
                <w:b w:val="false"/>
                <w:bCs w:val="false"/>
                <w:sz w:val="19"/>
                <w:szCs w:val="19"/>
              </w:rPr>
              <w:t xml:space="preserve">~169 ns</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45 nm</w:t>
            </w:r>
          </w:p>
        </w:tc>
        <w:tc>
          <w:tcPr>
            <w:tcW w:type="dxa" w:w="12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3480"/>
            <w:tcMar>
              <w:top w:type="dxa" w:w="50"/>
              <w:left w:type="dxa" w:w="100"/>
              <w:bottom w:type="dxa" w:w="50"/>
              <w:right w:type="dxa" w:w="100"/>
            </w:tcMar>
            <w:vAlign w:val="center"/>
          </w:tcPr>
          <w:p>
            <w:pPr>
              <w:jc w:val="center"/>
            </w:pPr>
            <w:r>
              <w:rPr>
                <w:b w:val="false"/>
                <w:bCs w:val="false"/>
                <w:sz w:val="19"/>
                <w:szCs w:val="19"/>
              </w:rPr>
              <w:t xml:space="preserve">~3.7 ns</w:t>
            </w:r>
          </w:p>
        </w:tc>
        <w:tc>
          <w:tcPr>
            <w:tcW w:type="dxa" w:w="3480"/>
            <w:tcMar>
              <w:top w:type="dxa" w:w="50"/>
              <w:left w:type="dxa" w:w="100"/>
              <w:bottom w:type="dxa" w:w="50"/>
              <w:right w:type="dxa" w:w="100"/>
            </w:tcMar>
            <w:vAlign w:val="center"/>
          </w:tcPr>
          <w:p>
            <w:pPr>
              <w:jc w:val="center"/>
            </w:pPr>
            <w:r>
              <w:rPr>
                <w:b w:val="false"/>
                <w:bCs w:val="false"/>
                <w:sz w:val="19"/>
                <w:szCs w:val="19"/>
              </w:rPr>
              <w:t xml:space="preserve">~450 ns</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14 nm</w:t>
            </w:r>
          </w:p>
        </w:tc>
        <w:tc>
          <w:tcPr>
            <w:tcW w:type="dxa" w:w="12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3480"/>
            <w:tcMar>
              <w:top w:type="dxa" w:w="50"/>
              <w:left w:type="dxa" w:w="100"/>
              <w:bottom w:type="dxa" w:w="50"/>
              <w:right w:type="dxa" w:w="100"/>
            </w:tcMar>
            <w:vAlign w:val="center"/>
          </w:tcPr>
          <w:p>
            <w:pPr>
              <w:jc w:val="center"/>
            </w:pPr>
            <w:r>
              <w:rPr>
                <w:b w:val="false"/>
                <w:bCs w:val="false"/>
                <w:sz w:val="19"/>
                <w:szCs w:val="19"/>
              </w:rPr>
              <w:t xml:space="preserve">~5.8 ns</w:t>
            </w:r>
          </w:p>
        </w:tc>
        <w:tc>
          <w:tcPr>
            <w:tcW w:type="dxa" w:w="3480"/>
            <w:tcMar>
              <w:top w:type="dxa" w:w="50"/>
              <w:left w:type="dxa" w:w="100"/>
              <w:bottom w:type="dxa" w:w="50"/>
              <w:right w:type="dxa" w:w="100"/>
            </w:tcMar>
            <w:vAlign w:val="center"/>
          </w:tcPr>
          <w:p>
            <w:pPr>
              <w:jc w:val="center"/>
            </w:pPr>
            <w:r>
              <w:rPr>
                <w:b w:val="false"/>
                <w:bCs w:val="false"/>
                <w:sz w:val="19"/>
                <w:szCs w:val="19"/>
              </w:rPr>
              <w:t xml:space="preserve">~59 ns</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14 nm</w:t>
            </w:r>
          </w:p>
        </w:tc>
        <w:tc>
          <w:tcPr>
            <w:tcW w:type="dxa" w:w="12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3480"/>
            <w:tcMar>
              <w:top w:type="dxa" w:w="50"/>
              <w:left w:type="dxa" w:w="100"/>
              <w:bottom w:type="dxa" w:w="50"/>
              <w:right w:type="dxa" w:w="100"/>
            </w:tcMar>
            <w:vAlign w:val="center"/>
          </w:tcPr>
          <w:p>
            <w:pPr>
              <w:jc w:val="center"/>
            </w:pPr>
            <w:r>
              <w:rPr>
                <w:b w:val="false"/>
                <w:bCs w:val="false"/>
                <w:sz w:val="19"/>
                <w:szCs w:val="19"/>
              </w:rPr>
              <w:t xml:space="preserve">~33 ns</w:t>
            </w:r>
          </w:p>
        </w:tc>
        <w:tc>
          <w:tcPr>
            <w:tcW w:type="dxa" w:w="3480"/>
            <w:tcMar>
              <w:top w:type="dxa" w:w="50"/>
              <w:left w:type="dxa" w:w="100"/>
              <w:bottom w:type="dxa" w:w="50"/>
              <w:right w:type="dxa" w:w="100"/>
            </w:tcMar>
            <w:vAlign w:val="center"/>
          </w:tcPr>
          <w:p>
            <w:pPr>
              <w:jc w:val="center"/>
            </w:pPr>
            <w:r>
              <w:rPr>
                <w:b w:val="false"/>
                <w:bCs w:val="false"/>
                <w:sz w:val="19"/>
                <w:szCs w:val="19"/>
              </w:rPr>
              <w:t xml:space="preserve">~0.75 μs</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14 nm</w:t>
            </w:r>
          </w:p>
        </w:tc>
        <w:tc>
          <w:tcPr>
            <w:tcW w:type="dxa" w:w="12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3480"/>
            <w:tcMar>
              <w:top w:type="dxa" w:w="50"/>
              <w:left w:type="dxa" w:w="100"/>
              <w:bottom w:type="dxa" w:w="50"/>
              <w:right w:type="dxa" w:w="100"/>
            </w:tcMar>
            <w:vAlign w:val="center"/>
          </w:tcPr>
          <w:p>
            <w:pPr>
              <w:jc w:val="center"/>
            </w:pPr>
            <w:r>
              <w:rPr>
                <w:b w:val="false"/>
                <w:bCs w:val="false"/>
                <w:sz w:val="19"/>
                <w:szCs w:val="19"/>
              </w:rPr>
              <w:t xml:space="preserve">~114 ns</w:t>
            </w:r>
          </w:p>
        </w:tc>
        <w:tc>
          <w:tcPr>
            <w:tcW w:type="dxa" w:w="3480"/>
            <w:tcMar>
              <w:top w:type="dxa" w:w="50"/>
              <w:left w:type="dxa" w:w="100"/>
              <w:bottom w:type="dxa" w:w="50"/>
              <w:right w:type="dxa" w:w="100"/>
            </w:tcMar>
            <w:vAlign w:val="center"/>
          </w:tcPr>
          <w:p>
            <w:pPr>
              <w:jc w:val="center"/>
            </w:pPr>
            <w:r>
              <w:rPr>
                <w:b w:val="false"/>
                <w:bCs w:val="false"/>
                <w:sz w:val="19"/>
                <w:szCs w:val="19"/>
              </w:rPr>
              <w:t xml:space="preserve">~6.3 μs</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7 nm</w:t>
            </w:r>
          </w:p>
        </w:tc>
        <w:tc>
          <w:tcPr>
            <w:tcW w:type="dxa" w:w="12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3480"/>
            <w:tcMar>
              <w:top w:type="dxa" w:w="50"/>
              <w:left w:type="dxa" w:w="100"/>
              <w:bottom w:type="dxa" w:w="50"/>
              <w:right w:type="dxa" w:w="100"/>
            </w:tcMar>
            <w:vAlign w:val="center"/>
          </w:tcPr>
          <w:p>
            <w:pPr>
              <w:jc w:val="center"/>
            </w:pPr>
            <w:r>
              <w:rPr>
                <w:b w:val="false"/>
                <w:bCs w:val="false"/>
                <w:sz w:val="19"/>
                <w:szCs w:val="19"/>
              </w:rPr>
              <w:t xml:space="preserve">~13.8 ns</w:t>
            </w:r>
          </w:p>
        </w:tc>
        <w:tc>
          <w:tcPr>
            <w:tcW w:type="dxa" w:w="3480"/>
            <w:tcMar>
              <w:top w:type="dxa" w:w="50"/>
              <w:left w:type="dxa" w:w="100"/>
              <w:bottom w:type="dxa" w:w="50"/>
              <w:right w:type="dxa" w:w="100"/>
            </w:tcMar>
            <w:vAlign w:val="center"/>
          </w:tcPr>
          <w:p>
            <w:pPr>
              <w:jc w:val="center"/>
            </w:pPr>
            <w:r>
              <w:rPr>
                <w:b w:val="false"/>
                <w:bCs w:val="false"/>
                <w:sz w:val="19"/>
                <w:szCs w:val="19"/>
              </w:rPr>
              <w:t xml:space="preserve">~89 ns</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7 nm</w:t>
            </w:r>
          </w:p>
        </w:tc>
        <w:tc>
          <w:tcPr>
            <w:tcW w:type="dxa" w:w="12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3480"/>
            <w:tcMar>
              <w:top w:type="dxa" w:w="50"/>
              <w:left w:type="dxa" w:w="100"/>
              <w:bottom w:type="dxa" w:w="50"/>
              <w:right w:type="dxa" w:w="100"/>
            </w:tcMar>
            <w:vAlign w:val="center"/>
          </w:tcPr>
          <w:p>
            <w:pPr>
              <w:jc w:val="center"/>
            </w:pPr>
            <w:r>
              <w:rPr>
                <w:b w:val="false"/>
                <w:bCs w:val="false"/>
                <w:sz w:val="19"/>
                <w:szCs w:val="19"/>
              </w:rPr>
              <w:t xml:space="preserve">~960 ns</w:t>
            </w:r>
          </w:p>
        </w:tc>
        <w:tc>
          <w:tcPr>
            <w:tcW w:type="dxa" w:w="3480"/>
            <w:tcMar>
              <w:top w:type="dxa" w:w="50"/>
              <w:left w:type="dxa" w:w="100"/>
              <w:bottom w:type="dxa" w:w="50"/>
              <w:right w:type="dxa" w:w="100"/>
            </w:tcMar>
            <w:vAlign w:val="center"/>
          </w:tcPr>
          <w:p>
            <w:pPr>
              <w:jc w:val="center"/>
            </w:pPr>
            <w:r>
              <w:rPr>
                <w:b w:val="false"/>
                <w:bCs w:val="false"/>
                <w:sz w:val="19"/>
                <w:szCs w:val="19"/>
              </w:rPr>
              <w:t xml:space="preserve">~3.5 μs</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7 nm</w:t>
            </w:r>
          </w:p>
        </w:tc>
        <w:tc>
          <w:tcPr>
            <w:tcW w:type="dxa" w:w="12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3480"/>
            <w:tcMar>
              <w:top w:type="dxa" w:w="50"/>
              <w:left w:type="dxa" w:w="100"/>
              <w:bottom w:type="dxa" w:w="50"/>
              <w:right w:type="dxa" w:w="100"/>
            </w:tcMar>
            <w:vAlign w:val="center"/>
          </w:tcPr>
          <w:p>
            <w:pPr>
              <w:jc w:val="center"/>
            </w:pPr>
            <w:r>
              <w:rPr>
                <w:b w:val="false"/>
                <w:bCs w:val="false"/>
                <w:sz w:val="19"/>
                <w:szCs w:val="19"/>
              </w:rPr>
              <w:t xml:space="preserve">~3.48 μs</w:t>
            </w:r>
          </w:p>
        </w:tc>
        <w:tc>
          <w:tcPr>
            <w:tcW w:type="dxa" w:w="3480"/>
            <w:tcMar>
              <w:top w:type="dxa" w:w="50"/>
              <w:left w:type="dxa" w:w="100"/>
              <w:bottom w:type="dxa" w:w="50"/>
              <w:right w:type="dxa" w:w="100"/>
            </w:tcMar>
            <w:vAlign w:val="center"/>
          </w:tcPr>
          <w:p>
            <w:pPr>
              <w:jc w:val="center"/>
            </w:pPr>
            <w:r>
              <w:rPr>
                <w:b w:val="false"/>
                <w:bCs w:val="false"/>
                <w:sz w:val="19"/>
                <w:szCs w:val="19"/>
              </w:rPr>
              <w:t xml:space="preserve">~10.87 μs</w:t>
            </w:r>
          </w:p>
        </w:tc>
      </w:tr>
    </w:tbl>
    <w:p>
      <w:pPr>
        <w:spacing w:after="160" w:before="60"/>
      </w:pPr>
      <w:r>
        <w:rPr>
          <w:i/>
          <w:iCs/>
          <w:color w:val="555555"/>
          <w:sz w:val="18"/>
          <w:szCs w:val="18"/>
        </w:rPr>
        <w:t xml:space="preserve">Table 7. Two-stage CMOS inverter-chain propagation delay, 90 nm devices with scaled Cu/CNT interconnect.</w:t>
      </w:r>
    </w:p>
    <w:p>
      <w:pPr>
        <w:pStyle w:val="Heading3"/>
        <w:spacing w:after="100" w:before="220"/>
      </w:pPr>
      <w:r>
        <w:t xml:space="preserve">4.2 4-Bit Ripple-Carry Adder — Signal Integrity</w:t>
      </w:r>
    </w:p>
    <w:p>
      <w:pPr>
        <w:spacing w:after="160" w:line="300"/>
      </w:pPr>
      <w:r>
        <w:rPr>
          <w:i w:val="false"/>
          <w:iCs w:val="false"/>
          <w:sz w:val="22"/>
          <w:szCs w:val="22"/>
        </w:rPr>
        <w:t xml:space="preserve">The RCA results (Table 8) show that the resistance and capacitance penalties of the CNT bundle translate directly into degraded logic-level signal quality, not just added delay. At 14 nm/100 μm, the CNT carry-chain node exhibits an over-damped, rounded transition rather than a clean digital edge; at 14 nm/1000 μm (bundle resistance ≈ 2.09 MΩ) the internal carry waveform becomes essentially a sawtooth rather than a square pulse, a condition that is functionally broken for reliable digital logic. Because the RCA cascades three interconnect segments back-to-back on the carry path, these per-segment RC penalties compound: stimulus periods across the nine node/length cases had to be stretched from tens of nanoseconds up to roughly 656 ns (45 nm/1000 μm CNT) and beyond simply to allow the cascaded chain time to settle, illustrating that system-level (multi-segment) delay degrades faster than the single-wire RC estimates in Sections 2–3 would suggest on their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900"/>
        <w:gridCol w:w="1900"/>
        <w:gridCol w:w="3160"/>
      </w:tblGrid>
      <w:tr>
        <w:trPr>
          <w:tblHeader/>
        </w:trPr>
        <w:tc>
          <w:tcPr>
            <w:tcW w:type="dxa" w:w="1200"/>
            <w:shd w:fill="DCE6F1" w:color="auto" w:val="clear"/>
            <w:tcMar>
              <w:top w:type="dxa" w:w="60"/>
              <w:left w:type="dxa" w:w="100"/>
              <w:bottom w:type="dxa" w:w="60"/>
              <w:right w:type="dxa" w:w="100"/>
            </w:tcMar>
            <w:vAlign w:val="center"/>
          </w:tcPr>
          <w:p>
            <w:pPr>
              <w:jc w:val="center"/>
            </w:pPr>
            <w:r>
              <w:rPr>
                <w:b/>
                <w:bCs/>
                <w:color w:val="1F4E79"/>
                <w:sz w:val="19"/>
                <w:szCs w:val="19"/>
              </w:rPr>
              <w:t xml:space="preserve">Node</w:t>
            </w:r>
          </w:p>
        </w:tc>
        <w:tc>
          <w:tcPr>
            <w:tcW w:type="dxa" w:w="1200"/>
            <w:shd w:fill="DCE6F1" w:color="auto" w:val="clear"/>
            <w:tcMar>
              <w:top w:type="dxa" w:w="60"/>
              <w:left w:type="dxa" w:w="100"/>
              <w:bottom w:type="dxa" w:w="60"/>
              <w:right w:type="dxa" w:w="100"/>
            </w:tcMar>
            <w:vAlign w:val="center"/>
          </w:tcPr>
          <w:p>
            <w:pPr>
              <w:jc w:val="center"/>
            </w:pPr>
            <w:r>
              <w:rPr>
                <w:b/>
                <w:bCs/>
                <w:color w:val="1F4E79"/>
                <w:sz w:val="19"/>
                <w:szCs w:val="19"/>
              </w:rPr>
              <w:t xml:space="preserve">Length (μm)</w:t>
            </w:r>
          </w:p>
        </w:tc>
        <w:tc>
          <w:tcPr>
            <w:tcW w:type="dxa" w:w="1900"/>
            <w:shd w:fill="DCE6F1" w:color="auto" w:val="clear"/>
            <w:tcMar>
              <w:top w:type="dxa" w:w="60"/>
              <w:left w:type="dxa" w:w="100"/>
              <w:bottom w:type="dxa" w:w="60"/>
              <w:right w:type="dxa" w:w="100"/>
            </w:tcMar>
            <w:vAlign w:val="center"/>
          </w:tcPr>
          <w:p>
            <w:pPr>
              <w:jc w:val="center"/>
            </w:pPr>
            <w:r>
              <w:rPr>
                <w:b/>
                <w:bCs/>
                <w:color w:val="1F4E79"/>
                <w:sz w:val="19"/>
                <w:szCs w:val="19"/>
              </w:rPr>
              <w:t xml:space="preserve">Cu Carry Time</w:t>
            </w:r>
          </w:p>
        </w:tc>
        <w:tc>
          <w:tcPr>
            <w:tcW w:type="dxa" w:w="1900"/>
            <w:shd w:fill="DCE6F1" w:color="auto" w:val="clear"/>
            <w:tcMar>
              <w:top w:type="dxa" w:w="60"/>
              <w:left w:type="dxa" w:w="100"/>
              <w:bottom w:type="dxa" w:w="60"/>
              <w:right w:type="dxa" w:w="100"/>
            </w:tcMar>
            <w:vAlign w:val="center"/>
          </w:tcPr>
          <w:p>
            <w:pPr>
              <w:jc w:val="center"/>
            </w:pPr>
            <w:r>
              <w:rPr>
                <w:b/>
                <w:bCs/>
                <w:color w:val="1F4E79"/>
                <w:sz w:val="19"/>
                <w:szCs w:val="19"/>
              </w:rPr>
              <w:t xml:space="preserve">CNT Carry Time</w:t>
            </w:r>
          </w:p>
        </w:tc>
        <w:tc>
          <w:tcPr>
            <w:tcW w:type="dxa" w:w="3160"/>
            <w:shd w:fill="DCE6F1" w:color="auto" w:val="clear"/>
            <w:tcMar>
              <w:top w:type="dxa" w:w="60"/>
              <w:left w:type="dxa" w:w="100"/>
              <w:bottom w:type="dxa" w:w="60"/>
              <w:right w:type="dxa" w:w="100"/>
            </w:tcMar>
            <w:vAlign w:val="center"/>
          </w:tcPr>
          <w:p>
            <w:pPr>
              <w:jc w:val="center"/>
            </w:pPr>
            <w:r>
              <w:rPr>
                <w:b/>
                <w:bCs/>
                <w:color w:val="1F4E79"/>
                <w:sz w:val="19"/>
                <w:szCs w:val="19"/>
              </w:rPr>
              <w:t xml:space="preserve">Signal Quality</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45 nm</w:t>
            </w:r>
          </w:p>
        </w:tc>
        <w:tc>
          <w:tcPr>
            <w:tcW w:type="dxa" w:w="12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1900"/>
            <w:tcMar>
              <w:top w:type="dxa" w:w="50"/>
              <w:left w:type="dxa" w:w="100"/>
              <w:bottom w:type="dxa" w:w="50"/>
              <w:right w:type="dxa" w:w="100"/>
            </w:tcMar>
            <w:vAlign w:val="center"/>
          </w:tcPr>
          <w:p>
            <w:pPr>
              <w:jc w:val="center"/>
            </w:pPr>
            <w:r>
              <w:rPr>
                <w:b w:val="false"/>
                <w:bCs w:val="false"/>
                <w:sz w:val="19"/>
                <w:szCs w:val="19"/>
              </w:rPr>
              <w:t xml:space="preserve">~11.8 ns</w:t>
            </w:r>
          </w:p>
        </w:tc>
        <w:tc>
          <w:tcPr>
            <w:tcW w:type="dxa" w:w="1900"/>
            <w:tcMar>
              <w:top w:type="dxa" w:w="50"/>
              <w:left w:type="dxa" w:w="100"/>
              <w:bottom w:type="dxa" w:w="50"/>
              <w:right w:type="dxa" w:w="100"/>
            </w:tcMar>
            <w:vAlign w:val="center"/>
          </w:tcPr>
          <w:p>
            <w:pPr>
              <w:jc w:val="center"/>
            </w:pPr>
            <w:r>
              <w:rPr>
                <w:b w:val="false"/>
                <w:bCs w:val="false"/>
                <w:sz w:val="19"/>
                <w:szCs w:val="19"/>
              </w:rPr>
              <w:t xml:space="preserve">~10.9 ns</w:t>
            </w:r>
          </w:p>
        </w:tc>
        <w:tc>
          <w:tcPr>
            <w:tcW w:type="dxa" w:w="3160"/>
            <w:tcMar>
              <w:top w:type="dxa" w:w="50"/>
              <w:left w:type="dxa" w:w="100"/>
              <w:bottom w:type="dxa" w:w="50"/>
              <w:right w:type="dxa" w:w="100"/>
            </w:tcMar>
            <w:vAlign w:val="center"/>
          </w:tcPr>
          <w:p>
            <w:pPr>
              <w:jc w:val="center"/>
            </w:pPr>
            <w:r>
              <w:rPr>
                <w:b w:val="false"/>
                <w:bCs w:val="false"/>
                <w:sz w:val="19"/>
                <w:szCs w:val="19"/>
              </w:rPr>
              <w:t xml:space="preserve">Both clean</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45 nm</w:t>
            </w:r>
          </w:p>
        </w:tc>
        <w:tc>
          <w:tcPr>
            <w:tcW w:type="dxa" w:w="12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1900"/>
            <w:tcMar>
              <w:top w:type="dxa" w:w="50"/>
              <w:left w:type="dxa" w:w="100"/>
              <w:bottom w:type="dxa" w:w="50"/>
              <w:right w:type="dxa" w:w="100"/>
            </w:tcMar>
            <w:vAlign w:val="center"/>
          </w:tcPr>
          <w:p>
            <w:pPr>
              <w:jc w:val="center"/>
            </w:pPr>
            <w:r>
              <w:rPr>
                <w:b w:val="false"/>
                <w:bCs w:val="false"/>
                <w:sz w:val="19"/>
                <w:szCs w:val="19"/>
              </w:rPr>
              <w:t xml:space="preserve">~6.5 ns/bit</w:t>
            </w:r>
          </w:p>
        </w:tc>
        <w:tc>
          <w:tcPr>
            <w:tcW w:type="dxa" w:w="1900"/>
            <w:tcMar>
              <w:top w:type="dxa" w:w="50"/>
              <w:left w:type="dxa" w:w="100"/>
              <w:bottom w:type="dxa" w:w="50"/>
              <w:right w:type="dxa" w:w="100"/>
            </w:tcMar>
            <w:vAlign w:val="center"/>
          </w:tcPr>
          <w:p>
            <w:pPr>
              <w:jc w:val="center"/>
            </w:pPr>
            <w:r>
              <w:rPr>
                <w:b w:val="false"/>
                <w:bCs w:val="false"/>
                <w:sz w:val="19"/>
                <w:szCs w:val="19"/>
              </w:rPr>
              <w:t xml:space="preserve">~89 ns/bit</w:t>
            </w:r>
          </w:p>
        </w:tc>
        <w:tc>
          <w:tcPr>
            <w:tcW w:type="dxa" w:w="3160"/>
            <w:tcMar>
              <w:top w:type="dxa" w:w="50"/>
              <w:left w:type="dxa" w:w="100"/>
              <w:bottom w:type="dxa" w:w="50"/>
              <w:right w:type="dxa" w:w="100"/>
            </w:tcMar>
            <w:vAlign w:val="center"/>
          </w:tcPr>
          <w:p>
            <w:pPr>
              <w:jc w:val="center"/>
            </w:pPr>
            <w:r>
              <w:rPr>
                <w:b w:val="false"/>
                <w:bCs w:val="false"/>
                <w:sz w:val="19"/>
                <w:szCs w:val="19"/>
              </w:rPr>
              <w:t xml:space="preserve">CNT visibly slowed</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45 nm</w:t>
            </w:r>
          </w:p>
        </w:tc>
        <w:tc>
          <w:tcPr>
            <w:tcW w:type="dxa" w:w="12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1900"/>
            <w:tcMar>
              <w:top w:type="dxa" w:w="50"/>
              <w:left w:type="dxa" w:w="100"/>
              <w:bottom w:type="dxa" w:w="50"/>
              <w:right w:type="dxa" w:w="100"/>
            </w:tcMar>
            <w:vAlign w:val="center"/>
          </w:tcPr>
          <w:p>
            <w:pPr>
              <w:jc w:val="center"/>
            </w:pPr>
            <w:r>
              <w:rPr>
                <w:b w:val="false"/>
                <w:bCs w:val="false"/>
                <w:sz w:val="19"/>
                <w:szCs w:val="19"/>
              </w:rPr>
              <w:t xml:space="preserve">~6.5 ns</w:t>
            </w:r>
          </w:p>
        </w:tc>
        <w:tc>
          <w:tcPr>
            <w:tcW w:type="dxa" w:w="1900"/>
            <w:tcMar>
              <w:top w:type="dxa" w:w="50"/>
              <w:left w:type="dxa" w:w="100"/>
              <w:bottom w:type="dxa" w:w="50"/>
              <w:right w:type="dxa" w:w="100"/>
            </w:tcMar>
            <w:vAlign w:val="center"/>
          </w:tcPr>
          <w:p>
            <w:pPr>
              <w:jc w:val="center"/>
            </w:pPr>
            <w:r>
              <w:rPr>
                <w:b w:val="false"/>
                <w:bCs w:val="false"/>
                <w:sz w:val="19"/>
                <w:szCs w:val="19"/>
              </w:rPr>
              <w:t xml:space="preserve">~286 μs</w:t>
            </w:r>
          </w:p>
        </w:tc>
        <w:tc>
          <w:tcPr>
            <w:tcW w:type="dxa" w:w="3160"/>
            <w:tcMar>
              <w:top w:type="dxa" w:w="50"/>
              <w:left w:type="dxa" w:w="100"/>
              <w:bottom w:type="dxa" w:w="50"/>
              <w:right w:type="dxa" w:w="100"/>
            </w:tcMar>
            <w:vAlign w:val="center"/>
          </w:tcPr>
          <w:p>
            <w:pPr>
              <w:jc w:val="center"/>
            </w:pPr>
            <w:r>
              <w:rPr>
                <w:b w:val="false"/>
                <w:bCs w:val="false"/>
                <w:sz w:val="19"/>
                <w:szCs w:val="19"/>
              </w:rPr>
              <w:t xml:space="preserve">CNT severely degraded</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14 nm</w:t>
            </w:r>
          </w:p>
        </w:tc>
        <w:tc>
          <w:tcPr>
            <w:tcW w:type="dxa" w:w="12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1900"/>
            <w:tcMar>
              <w:top w:type="dxa" w:w="50"/>
              <w:left w:type="dxa" w:w="100"/>
              <w:bottom w:type="dxa" w:w="50"/>
              <w:right w:type="dxa" w:w="100"/>
            </w:tcMar>
            <w:vAlign w:val="center"/>
          </w:tcPr>
          <w:p>
            <w:pPr>
              <w:jc w:val="center"/>
            </w:pPr>
            <w:r>
              <w:rPr>
                <w:b w:val="false"/>
                <w:bCs w:val="false"/>
                <w:sz w:val="19"/>
                <w:szCs w:val="19"/>
              </w:rPr>
              <w:t xml:space="preserve">~18 ns</w:t>
            </w:r>
          </w:p>
        </w:tc>
        <w:tc>
          <w:tcPr>
            <w:tcW w:type="dxa" w:w="1900"/>
            <w:tcMar>
              <w:top w:type="dxa" w:w="50"/>
              <w:left w:type="dxa" w:w="100"/>
              <w:bottom w:type="dxa" w:w="50"/>
              <w:right w:type="dxa" w:w="100"/>
            </w:tcMar>
            <w:vAlign w:val="center"/>
          </w:tcPr>
          <w:p>
            <w:pPr>
              <w:jc w:val="center"/>
            </w:pPr>
            <w:r>
              <w:rPr>
                <w:b w:val="false"/>
                <w:bCs w:val="false"/>
                <w:sz w:val="19"/>
                <w:szCs w:val="19"/>
              </w:rPr>
              <w:t xml:space="preserve">~660 ns</w:t>
            </w:r>
          </w:p>
        </w:tc>
        <w:tc>
          <w:tcPr>
            <w:tcW w:type="dxa" w:w="3160"/>
            <w:tcMar>
              <w:top w:type="dxa" w:w="50"/>
              <w:left w:type="dxa" w:w="100"/>
              <w:bottom w:type="dxa" w:w="50"/>
              <w:right w:type="dxa" w:w="100"/>
            </w:tcMar>
            <w:vAlign w:val="center"/>
          </w:tcPr>
          <w:p>
            <w:pPr>
              <w:jc w:val="center"/>
            </w:pPr>
            <w:r>
              <w:rPr>
                <w:b w:val="false"/>
                <w:bCs w:val="false"/>
                <w:sz w:val="19"/>
                <w:szCs w:val="19"/>
              </w:rPr>
              <w:t xml:space="preserve">CNT over-damped</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14 nm</w:t>
            </w:r>
          </w:p>
        </w:tc>
        <w:tc>
          <w:tcPr>
            <w:tcW w:type="dxa" w:w="12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1900"/>
            <w:tcMar>
              <w:top w:type="dxa" w:w="50"/>
              <w:left w:type="dxa" w:w="100"/>
              <w:bottom w:type="dxa" w:w="50"/>
              <w:right w:type="dxa" w:w="100"/>
            </w:tcMar>
            <w:vAlign w:val="center"/>
          </w:tcPr>
          <w:p>
            <w:pPr>
              <w:jc w:val="center"/>
            </w:pPr>
            <w:r>
              <w:rPr>
                <w:b w:val="false"/>
                <w:bCs w:val="false"/>
                <w:sz w:val="19"/>
                <w:szCs w:val="19"/>
              </w:rPr>
              <w:t xml:space="preserve">~33 ns</w:t>
            </w:r>
          </w:p>
        </w:tc>
        <w:tc>
          <w:tcPr>
            <w:tcW w:type="dxa" w:w="1900"/>
            <w:tcMar>
              <w:top w:type="dxa" w:w="50"/>
              <w:left w:type="dxa" w:w="100"/>
              <w:bottom w:type="dxa" w:w="50"/>
              <w:right w:type="dxa" w:w="100"/>
            </w:tcMar>
            <w:vAlign w:val="center"/>
          </w:tcPr>
          <w:p>
            <w:pPr>
              <w:jc w:val="center"/>
            </w:pPr>
            <w:r>
              <w:rPr>
                <w:b w:val="false"/>
                <w:bCs w:val="false"/>
                <w:sz w:val="19"/>
                <w:szCs w:val="19"/>
              </w:rPr>
              <w:t xml:space="preserve">~53.7 ns</w:t>
            </w:r>
          </w:p>
        </w:tc>
        <w:tc>
          <w:tcPr>
            <w:tcW w:type="dxa" w:w="3160"/>
            <w:tcMar>
              <w:top w:type="dxa" w:w="50"/>
              <w:left w:type="dxa" w:w="100"/>
              <w:bottom w:type="dxa" w:w="50"/>
              <w:right w:type="dxa" w:w="100"/>
            </w:tcMar>
            <w:vAlign w:val="center"/>
          </w:tcPr>
          <w:p>
            <w:pPr>
              <w:jc w:val="center"/>
            </w:pPr>
            <w:r>
              <w:rPr>
                <w:b w:val="false"/>
                <w:bCs w:val="false"/>
                <w:sz w:val="19"/>
                <w:szCs w:val="19"/>
              </w:rPr>
              <w:t xml:space="preserve">CNT distorted</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14 nm</w:t>
            </w:r>
          </w:p>
        </w:tc>
        <w:tc>
          <w:tcPr>
            <w:tcW w:type="dxa" w:w="12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1900"/>
            <w:tcMar>
              <w:top w:type="dxa" w:w="50"/>
              <w:left w:type="dxa" w:w="100"/>
              <w:bottom w:type="dxa" w:w="50"/>
              <w:right w:type="dxa" w:w="100"/>
            </w:tcMar>
            <w:vAlign w:val="center"/>
          </w:tcPr>
          <w:p>
            <w:pPr>
              <w:jc w:val="center"/>
            </w:pPr>
            <w:r>
              <w:rPr>
                <w:b w:val="false"/>
                <w:bCs w:val="false"/>
                <w:sz w:val="19"/>
                <w:szCs w:val="19"/>
              </w:rPr>
              <w:t xml:space="preserve">~26 ns</w:t>
            </w:r>
          </w:p>
        </w:tc>
        <w:tc>
          <w:tcPr>
            <w:tcW w:type="dxa" w:w="1900"/>
            <w:tcMar>
              <w:top w:type="dxa" w:w="50"/>
              <w:left w:type="dxa" w:w="100"/>
              <w:bottom w:type="dxa" w:w="50"/>
              <w:right w:type="dxa" w:w="100"/>
            </w:tcMar>
            <w:vAlign w:val="center"/>
          </w:tcPr>
          <w:p>
            <w:pPr>
              <w:jc w:val="center"/>
            </w:pPr>
            <w:r>
              <w:rPr>
                <w:b w:val="false"/>
                <w:bCs w:val="false"/>
                <w:sz w:val="19"/>
                <w:szCs w:val="19"/>
              </w:rPr>
              <w:t xml:space="preserve">~66 ns</w:t>
            </w:r>
          </w:p>
        </w:tc>
        <w:tc>
          <w:tcPr>
            <w:tcW w:type="dxa" w:w="3160"/>
            <w:tcMar>
              <w:top w:type="dxa" w:w="50"/>
              <w:left w:type="dxa" w:w="100"/>
              <w:bottom w:type="dxa" w:w="50"/>
              <w:right w:type="dxa" w:w="100"/>
            </w:tcMar>
            <w:vAlign w:val="center"/>
          </w:tcPr>
          <w:p>
            <w:pPr>
              <w:jc w:val="center"/>
            </w:pPr>
            <w:r>
              <w:rPr>
                <w:b w:val="false"/>
                <w:bCs w:val="false"/>
                <w:sz w:val="19"/>
                <w:szCs w:val="19"/>
              </w:rPr>
              <w:t xml:space="preserve">CNT sawtooth / broken</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7 nm</w:t>
            </w:r>
          </w:p>
        </w:tc>
        <w:tc>
          <w:tcPr>
            <w:tcW w:type="dxa" w:w="12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1900"/>
            <w:tcMar>
              <w:top w:type="dxa" w:w="50"/>
              <w:left w:type="dxa" w:w="100"/>
              <w:bottom w:type="dxa" w:w="50"/>
              <w:right w:type="dxa" w:w="100"/>
            </w:tcMar>
            <w:vAlign w:val="center"/>
          </w:tcPr>
          <w:p>
            <w:pPr>
              <w:jc w:val="center"/>
            </w:pPr>
            <w:r>
              <w:rPr>
                <w:b w:val="false"/>
                <w:bCs w:val="false"/>
                <w:sz w:val="19"/>
                <w:szCs w:val="19"/>
              </w:rPr>
              <w:t xml:space="preserve">~24.6 ns</w:t>
            </w:r>
          </w:p>
        </w:tc>
        <w:tc>
          <w:tcPr>
            <w:tcW w:type="dxa" w:w="1900"/>
            <w:tcMar>
              <w:top w:type="dxa" w:w="50"/>
              <w:left w:type="dxa" w:w="100"/>
              <w:bottom w:type="dxa" w:w="50"/>
              <w:right w:type="dxa" w:w="100"/>
            </w:tcMar>
            <w:vAlign w:val="center"/>
          </w:tcPr>
          <w:p>
            <w:pPr>
              <w:jc w:val="center"/>
            </w:pPr>
            <w:r>
              <w:rPr>
                <w:b w:val="false"/>
                <w:bCs w:val="false"/>
                <w:sz w:val="19"/>
                <w:szCs w:val="19"/>
              </w:rPr>
              <w:t xml:space="preserve">~660 ns</w:t>
            </w:r>
          </w:p>
        </w:tc>
        <w:tc>
          <w:tcPr>
            <w:tcW w:type="dxa" w:w="3160"/>
            <w:tcMar>
              <w:top w:type="dxa" w:w="50"/>
              <w:left w:type="dxa" w:w="100"/>
              <w:bottom w:type="dxa" w:w="50"/>
              <w:right w:type="dxa" w:w="100"/>
            </w:tcMar>
            <w:vAlign w:val="center"/>
          </w:tcPr>
          <w:p>
            <w:pPr>
              <w:jc w:val="center"/>
            </w:pPr>
            <w:r>
              <w:rPr>
                <w:b w:val="false"/>
                <w:bCs w:val="false"/>
                <w:sz w:val="19"/>
                <w:szCs w:val="19"/>
              </w:rPr>
              <w:t xml:space="preserve">Cu degraded, functional</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7 nm</w:t>
            </w:r>
          </w:p>
        </w:tc>
        <w:tc>
          <w:tcPr>
            <w:tcW w:type="dxa" w:w="1200"/>
            <w:tcMar>
              <w:top w:type="dxa" w:w="50"/>
              <w:left w:type="dxa" w:w="100"/>
              <w:bottom w:type="dxa" w:w="50"/>
              <w:right w:type="dxa" w:w="100"/>
            </w:tcMar>
            <w:vAlign w:val="center"/>
          </w:tcPr>
          <w:p>
            <w:pPr>
              <w:jc w:val="center"/>
            </w:pPr>
            <w:r>
              <w:rPr>
                <w:b w:val="false"/>
                <w:bCs w:val="false"/>
                <w:sz w:val="19"/>
                <w:szCs w:val="19"/>
              </w:rPr>
              <w:t xml:space="preserve">500</w:t>
            </w:r>
          </w:p>
        </w:tc>
        <w:tc>
          <w:tcPr>
            <w:tcW w:type="dxa" w:w="1900"/>
            <w:tcMar>
              <w:top w:type="dxa" w:w="50"/>
              <w:left w:type="dxa" w:w="100"/>
              <w:bottom w:type="dxa" w:w="50"/>
              <w:right w:type="dxa" w:w="100"/>
            </w:tcMar>
            <w:vAlign w:val="center"/>
          </w:tcPr>
          <w:p>
            <w:pPr>
              <w:jc w:val="center"/>
            </w:pPr>
            <w:r>
              <w:rPr>
                <w:b w:val="false"/>
                <w:bCs w:val="false"/>
                <w:sz w:val="19"/>
                <w:szCs w:val="19"/>
              </w:rPr>
              <w:t xml:space="preserve">~708 ns</w:t>
            </w:r>
          </w:p>
        </w:tc>
        <w:tc>
          <w:tcPr>
            <w:tcW w:type="dxa" w:w="1900"/>
            <w:tcMar>
              <w:top w:type="dxa" w:w="50"/>
              <w:left w:type="dxa" w:w="100"/>
              <w:bottom w:type="dxa" w:w="50"/>
              <w:right w:type="dxa" w:w="100"/>
            </w:tcMar>
            <w:vAlign w:val="center"/>
          </w:tcPr>
          <w:p>
            <w:pPr>
              <w:jc w:val="center"/>
            </w:pPr>
            <w:r>
              <w:rPr>
                <w:b w:val="false"/>
                <w:bCs w:val="false"/>
                <w:sz w:val="19"/>
                <w:szCs w:val="19"/>
              </w:rPr>
              <w:t xml:space="preserve">~8.4 μs</w:t>
            </w:r>
          </w:p>
        </w:tc>
        <w:tc>
          <w:tcPr>
            <w:tcW w:type="dxa" w:w="3160"/>
            <w:tcMar>
              <w:top w:type="dxa" w:w="50"/>
              <w:left w:type="dxa" w:w="100"/>
              <w:bottom w:type="dxa" w:w="50"/>
              <w:right w:type="dxa" w:w="100"/>
            </w:tcMar>
            <w:vAlign w:val="center"/>
          </w:tcPr>
          <w:p>
            <w:pPr>
              <w:jc w:val="center"/>
            </w:pPr>
            <w:r>
              <w:rPr>
                <w:b w:val="false"/>
                <w:bCs w:val="false"/>
                <w:sz w:val="19"/>
                <w:szCs w:val="19"/>
              </w:rPr>
              <w:t xml:space="preserve">CNT ~12× slower</w:t>
            </w:r>
          </w:p>
        </w:tc>
      </w:tr>
      <w:tr>
        <w:tc>
          <w:tcPr>
            <w:tcW w:type="dxa" w:w="1200"/>
            <w:tcMar>
              <w:top w:type="dxa" w:w="50"/>
              <w:left w:type="dxa" w:w="100"/>
              <w:bottom w:type="dxa" w:w="50"/>
              <w:right w:type="dxa" w:w="100"/>
            </w:tcMar>
            <w:vAlign w:val="center"/>
          </w:tcPr>
          <w:p>
            <w:pPr>
              <w:jc w:val="left"/>
            </w:pPr>
            <w:r>
              <w:rPr>
                <w:b w:val="false"/>
                <w:bCs w:val="false"/>
                <w:sz w:val="19"/>
                <w:szCs w:val="19"/>
              </w:rPr>
              <w:t xml:space="preserve">7 nm</w:t>
            </w:r>
          </w:p>
        </w:tc>
        <w:tc>
          <w:tcPr>
            <w:tcW w:type="dxa" w:w="1200"/>
            <w:tcMar>
              <w:top w:type="dxa" w:w="50"/>
              <w:left w:type="dxa" w:w="100"/>
              <w:bottom w:type="dxa" w:w="50"/>
              <w:right w:type="dxa" w:w="100"/>
            </w:tcMar>
            <w:vAlign w:val="center"/>
          </w:tcPr>
          <w:p>
            <w:pPr>
              <w:jc w:val="center"/>
            </w:pPr>
            <w:r>
              <w:rPr>
                <w:b w:val="false"/>
                <w:bCs w:val="false"/>
                <w:sz w:val="19"/>
                <w:szCs w:val="19"/>
              </w:rPr>
              <w:t xml:space="preserve">1000</w:t>
            </w:r>
          </w:p>
        </w:tc>
        <w:tc>
          <w:tcPr>
            <w:tcW w:type="dxa" w:w="1900"/>
            <w:tcMar>
              <w:top w:type="dxa" w:w="50"/>
              <w:left w:type="dxa" w:w="100"/>
              <w:bottom w:type="dxa" w:w="50"/>
              <w:right w:type="dxa" w:w="100"/>
            </w:tcMar>
            <w:vAlign w:val="center"/>
          </w:tcPr>
          <w:p>
            <w:pPr>
              <w:jc w:val="center"/>
            </w:pPr>
            <w:r>
              <w:rPr>
                <w:b w:val="false"/>
                <w:bCs w:val="false"/>
                <w:sz w:val="19"/>
                <w:szCs w:val="19"/>
              </w:rPr>
              <w:t xml:space="preserve">~3.48 μs</w:t>
            </w:r>
          </w:p>
        </w:tc>
        <w:tc>
          <w:tcPr>
            <w:tcW w:type="dxa" w:w="1900"/>
            <w:tcMar>
              <w:top w:type="dxa" w:w="50"/>
              <w:left w:type="dxa" w:w="100"/>
              <w:bottom w:type="dxa" w:w="50"/>
              <w:right w:type="dxa" w:w="100"/>
            </w:tcMar>
            <w:vAlign w:val="center"/>
          </w:tcPr>
          <w:p>
            <w:pPr>
              <w:jc w:val="center"/>
            </w:pPr>
            <w:r>
              <w:rPr>
                <w:b w:val="false"/>
                <w:bCs w:val="false"/>
                <w:sz w:val="19"/>
                <w:szCs w:val="19"/>
              </w:rPr>
              <w:t xml:space="preserve">~60.5 μs</w:t>
            </w:r>
          </w:p>
        </w:tc>
        <w:tc>
          <w:tcPr>
            <w:tcW w:type="dxa" w:w="3160"/>
            <w:tcMar>
              <w:top w:type="dxa" w:w="50"/>
              <w:left w:type="dxa" w:w="100"/>
              <w:bottom w:type="dxa" w:w="50"/>
              <w:right w:type="dxa" w:w="100"/>
            </w:tcMar>
            <w:vAlign w:val="center"/>
          </w:tcPr>
          <w:p>
            <w:pPr>
              <w:jc w:val="center"/>
            </w:pPr>
            <w:r>
              <w:rPr>
                <w:b w:val="false"/>
                <w:bCs w:val="false"/>
                <w:sz w:val="19"/>
                <w:szCs w:val="19"/>
              </w:rPr>
              <w:t xml:space="preserve">Both marginal</w:t>
            </w:r>
          </w:p>
        </w:tc>
      </w:tr>
    </w:tbl>
    <w:p>
      <w:pPr>
        <w:spacing w:after="160" w:before="60"/>
      </w:pPr>
      <w:r>
        <w:rPr>
          <w:i/>
          <w:iCs/>
          <w:color w:val="555555"/>
          <w:sz w:val="18"/>
          <w:szCs w:val="18"/>
        </w:rPr>
        <w:t xml:space="preserve">Table 8. Ripple-carry-adder carry-chain propagation time and qualitative signal quality, 90 nm logic with scaled interconnect.</w:t>
      </w:r>
    </w:p>
    <w:p>
      <w:pPr>
        <w:pStyle w:val="Heading2"/>
        <w:spacing w:after="140" w:before="320"/>
      </w:pPr>
      <w:r>
        <w:t xml:space="preserve">5. Scaling Trends: Length and Node Dependence</w:t>
      </w:r>
    </w:p>
    <w:p>
      <w:pPr>
        <w:spacing w:after="160" w:line="300"/>
      </w:pPr>
      <w:r>
        <w:rPr>
          <w:i w:val="false"/>
          <w:iCs w:val="false"/>
          <w:sz w:val="22"/>
          <w:szCs w:val="22"/>
        </w:rPr>
        <w:t xml:space="preserve">At a fixed node, both materials' resistance scales essentially linearly with interconnect length (Table 9): copper because ρ is length-independent (R = ρL/A), and the CNT bundle because the phonon-scattering term R_Q·(L/λ_eff) already dominates over the fixed quantum/contact resistance once length exceeds λ_eff ≈ 49 nm, so growth is likewise proportional to 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200"/>
        <w:gridCol w:w="1400"/>
        <w:gridCol w:w="2400"/>
        <w:gridCol w:w="1600"/>
      </w:tblGrid>
      <w:tr>
        <w:trPr>
          <w:tblHeader/>
        </w:trPr>
        <w:tc>
          <w:tcPr>
            <w:tcW w:type="dxa" w:w="1760"/>
            <w:shd w:fill="DCE6F1" w:color="auto" w:val="clear"/>
            <w:tcMar>
              <w:top w:type="dxa" w:w="60"/>
              <w:left w:type="dxa" w:w="100"/>
              <w:bottom w:type="dxa" w:w="60"/>
              <w:right w:type="dxa" w:w="100"/>
            </w:tcMar>
            <w:vAlign w:val="center"/>
          </w:tcPr>
          <w:p>
            <w:pPr>
              <w:jc w:val="center"/>
            </w:pPr>
            <w:r>
              <w:rPr>
                <w:b/>
                <w:bCs/>
                <w:color w:val="1F4E79"/>
                <w:sz w:val="19"/>
                <w:szCs w:val="19"/>
              </w:rPr>
              <w:t xml:space="preserve">Length (μm)</w:t>
            </w:r>
          </w:p>
        </w:tc>
        <w:tc>
          <w:tcPr>
            <w:tcW w:type="dxa" w:w="2200"/>
            <w:shd w:fill="DCE6F1" w:color="auto" w:val="clear"/>
            <w:tcMar>
              <w:top w:type="dxa" w:w="60"/>
              <w:left w:type="dxa" w:w="100"/>
              <w:bottom w:type="dxa" w:w="60"/>
              <w:right w:type="dxa" w:w="100"/>
            </w:tcMar>
            <w:vAlign w:val="center"/>
          </w:tcPr>
          <w:p>
            <w:pPr>
              <w:jc w:val="center"/>
            </w:pPr>
            <w:r>
              <w:rPr>
                <w:b/>
                <w:bCs/>
                <w:color w:val="1F4E79"/>
                <w:sz w:val="19"/>
                <w:szCs w:val="19"/>
              </w:rPr>
              <w:t xml:space="preserve">Cu R (Ω)</w:t>
            </w:r>
          </w:p>
        </w:tc>
        <w:tc>
          <w:tcPr>
            <w:tcW w:type="dxa" w:w="1400"/>
            <w:shd w:fill="DCE6F1" w:color="auto" w:val="clear"/>
            <w:tcMar>
              <w:top w:type="dxa" w:w="60"/>
              <w:left w:type="dxa" w:w="100"/>
              <w:bottom w:type="dxa" w:w="60"/>
              <w:right w:type="dxa" w:w="100"/>
            </w:tcMar>
            <w:vAlign w:val="center"/>
          </w:tcPr>
          <w:p>
            <w:pPr>
              <w:jc w:val="center"/>
            </w:pPr>
            <w:r>
              <w:rPr>
                <w:b/>
                <w:bCs/>
                <w:color w:val="1F4E79"/>
                <w:sz w:val="19"/>
                <w:szCs w:val="19"/>
              </w:rPr>
              <w:t xml:space="preserve">Growth</w:t>
            </w:r>
          </w:p>
        </w:tc>
        <w:tc>
          <w:tcPr>
            <w:tcW w:type="dxa" w:w="2400"/>
            <w:shd w:fill="DCE6F1" w:color="auto" w:val="clear"/>
            <w:tcMar>
              <w:top w:type="dxa" w:w="60"/>
              <w:left w:type="dxa" w:w="100"/>
              <w:bottom w:type="dxa" w:w="60"/>
              <w:right w:type="dxa" w:w="100"/>
            </w:tcMar>
            <w:vAlign w:val="center"/>
          </w:tcPr>
          <w:p>
            <w:pPr>
              <w:jc w:val="center"/>
            </w:pPr>
            <w:r>
              <w:rPr>
                <w:b/>
                <w:bCs/>
                <w:color w:val="1F4E79"/>
                <w:sz w:val="19"/>
                <w:szCs w:val="19"/>
              </w:rPr>
              <w:t xml:space="preserve">CNT R (Ω)</w:t>
            </w:r>
          </w:p>
        </w:tc>
        <w:tc>
          <w:tcPr>
            <w:tcW w:type="dxa" w:w="1600"/>
            <w:shd w:fill="DCE6F1" w:color="auto" w:val="clear"/>
            <w:tcMar>
              <w:top w:type="dxa" w:w="60"/>
              <w:left w:type="dxa" w:w="100"/>
              <w:bottom w:type="dxa" w:w="60"/>
              <w:right w:type="dxa" w:w="100"/>
            </w:tcMar>
            <w:vAlign w:val="center"/>
          </w:tcPr>
          <w:p>
            <w:pPr>
              <w:jc w:val="center"/>
            </w:pPr>
            <w:r>
              <w:rPr>
                <w:b/>
                <w:bCs/>
                <w:color w:val="1F4E79"/>
                <w:sz w:val="19"/>
                <w:szCs w:val="19"/>
              </w:rPr>
              <w:t xml:space="preserve">Growth</w:t>
            </w:r>
          </w:p>
        </w:tc>
      </w:tr>
      <w:tr>
        <w:tc>
          <w:tcPr>
            <w:tcW w:type="dxa" w:w="1760"/>
            <w:tcMar>
              <w:top w:type="dxa" w:w="50"/>
              <w:left w:type="dxa" w:w="100"/>
              <w:bottom w:type="dxa" w:w="50"/>
              <w:right w:type="dxa" w:w="100"/>
            </w:tcMar>
            <w:vAlign w:val="center"/>
          </w:tcPr>
          <w:p>
            <w:pPr>
              <w:jc w:val="left"/>
            </w:pPr>
            <w:r>
              <w:rPr>
                <w:b w:val="false"/>
                <w:bCs w:val="false"/>
                <w:sz w:val="19"/>
                <w:szCs w:val="19"/>
              </w:rPr>
              <w:t xml:space="preserve">100</w:t>
            </w:r>
          </w:p>
        </w:tc>
        <w:tc>
          <w:tcPr>
            <w:tcW w:type="dxa" w:w="2200"/>
            <w:tcMar>
              <w:top w:type="dxa" w:w="50"/>
              <w:left w:type="dxa" w:w="100"/>
              <w:bottom w:type="dxa" w:w="50"/>
              <w:right w:type="dxa" w:w="100"/>
            </w:tcMar>
            <w:vAlign w:val="center"/>
          </w:tcPr>
          <w:p>
            <w:pPr>
              <w:jc w:val="center"/>
            </w:pPr>
            <w:r>
              <w:rPr>
                <w:b w:val="false"/>
                <w:bCs w:val="false"/>
                <w:sz w:val="19"/>
                <w:szCs w:val="19"/>
              </w:rPr>
              <w:t xml:space="preserve">258,858</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w:t>
            </w:r>
          </w:p>
        </w:tc>
        <w:tc>
          <w:tcPr>
            <w:tcW w:type="dxa" w:w="2400"/>
            <w:tcMar>
              <w:top w:type="dxa" w:w="50"/>
              <w:left w:type="dxa" w:w="100"/>
              <w:bottom w:type="dxa" w:w="50"/>
              <w:right w:type="dxa" w:w="100"/>
            </w:tcMar>
            <w:vAlign w:val="center"/>
          </w:tcPr>
          <w:p>
            <w:pPr>
              <w:jc w:val="center"/>
            </w:pPr>
            <w:r>
              <w:rPr>
                <w:b w:val="false"/>
                <w:bCs w:val="false"/>
                <w:sz w:val="19"/>
                <w:szCs w:val="19"/>
              </w:rPr>
              <w:t xml:space="preserve">548,055</w:t>
            </w:r>
          </w:p>
        </w:tc>
        <w:tc>
          <w:tcPr>
            <w:tcW w:type="dxa" w:w="1600"/>
            <w:tcMar>
              <w:top w:type="dxa" w:w="50"/>
              <w:left w:type="dxa" w:w="100"/>
              <w:bottom w:type="dxa" w:w="50"/>
              <w:right w:type="dxa" w:w="100"/>
            </w:tcMar>
            <w:vAlign w:val="center"/>
          </w:tcPr>
          <w:p>
            <w:pPr>
              <w:jc w:val="center"/>
            </w:pPr>
            <w:r>
              <w:rPr>
                <w:b w:val="false"/>
                <w:bCs w:val="false"/>
                <w:sz w:val="19"/>
                <w:szCs w:val="19"/>
              </w:rPr>
              <w:t xml:space="preserve">1×</w:t>
            </w:r>
          </w:p>
        </w:tc>
      </w:tr>
      <w:tr>
        <w:tc>
          <w:tcPr>
            <w:tcW w:type="dxa" w:w="1760"/>
            <w:tcMar>
              <w:top w:type="dxa" w:w="50"/>
              <w:left w:type="dxa" w:w="100"/>
              <w:bottom w:type="dxa" w:w="50"/>
              <w:right w:type="dxa" w:w="100"/>
            </w:tcMar>
            <w:vAlign w:val="center"/>
          </w:tcPr>
          <w:p>
            <w:pPr>
              <w:jc w:val="left"/>
            </w:pPr>
            <w:r>
              <w:rPr>
                <w:b w:val="false"/>
                <w:bCs w:val="false"/>
                <w:sz w:val="19"/>
                <w:szCs w:val="19"/>
              </w:rPr>
              <w:t xml:space="preserve">500</w:t>
            </w:r>
          </w:p>
        </w:tc>
        <w:tc>
          <w:tcPr>
            <w:tcW w:type="dxa" w:w="2200"/>
            <w:tcMar>
              <w:top w:type="dxa" w:w="50"/>
              <w:left w:type="dxa" w:w="100"/>
              <w:bottom w:type="dxa" w:w="50"/>
              <w:right w:type="dxa" w:w="100"/>
            </w:tcMar>
            <w:vAlign w:val="center"/>
          </w:tcPr>
          <w:p>
            <w:pPr>
              <w:jc w:val="center"/>
            </w:pPr>
            <w:r>
              <w:rPr>
                <w:b w:val="false"/>
                <w:bCs w:val="false"/>
                <w:sz w:val="19"/>
                <w:szCs w:val="19"/>
              </w:rPr>
              <w:t xml:space="preserve">1,294,291</w:t>
            </w:r>
          </w:p>
        </w:tc>
        <w:tc>
          <w:tcPr>
            <w:tcW w:type="dxa" w:w="1400"/>
            <w:tcMar>
              <w:top w:type="dxa" w:w="50"/>
              <w:left w:type="dxa" w:w="100"/>
              <w:bottom w:type="dxa" w:w="50"/>
              <w:right w:type="dxa" w:w="100"/>
            </w:tcMar>
            <w:vAlign w:val="center"/>
          </w:tcPr>
          <w:p>
            <w:pPr>
              <w:jc w:val="center"/>
            </w:pPr>
            <w:r>
              <w:rPr>
                <w:b w:val="false"/>
                <w:bCs w:val="false"/>
                <w:sz w:val="19"/>
                <w:szCs w:val="19"/>
              </w:rPr>
              <w:t xml:space="preserve">5.0×</w:t>
            </w:r>
          </w:p>
        </w:tc>
        <w:tc>
          <w:tcPr>
            <w:tcW w:type="dxa" w:w="2400"/>
            <w:tcMar>
              <w:top w:type="dxa" w:w="50"/>
              <w:left w:type="dxa" w:w="100"/>
              <w:bottom w:type="dxa" w:w="50"/>
              <w:right w:type="dxa" w:w="100"/>
            </w:tcMar>
            <w:vAlign w:val="center"/>
          </w:tcPr>
          <w:p>
            <w:pPr>
              <w:jc w:val="center"/>
            </w:pPr>
            <w:r>
              <w:rPr>
                <w:b w:val="false"/>
                <w:bCs w:val="false"/>
                <w:sz w:val="19"/>
                <w:szCs w:val="19"/>
              </w:rPr>
              <w:t xml:space="preserve">2,737,535</w:t>
            </w:r>
          </w:p>
        </w:tc>
        <w:tc>
          <w:tcPr>
            <w:tcW w:type="dxa" w:w="1600"/>
            <w:tcMar>
              <w:top w:type="dxa" w:w="50"/>
              <w:left w:type="dxa" w:w="100"/>
              <w:bottom w:type="dxa" w:w="50"/>
              <w:right w:type="dxa" w:w="100"/>
            </w:tcMar>
            <w:vAlign w:val="center"/>
          </w:tcPr>
          <w:p>
            <w:pPr>
              <w:jc w:val="center"/>
            </w:pPr>
            <w:r>
              <w:rPr>
                <w:b w:val="false"/>
                <w:bCs w:val="false"/>
                <w:sz w:val="19"/>
                <w:szCs w:val="19"/>
              </w:rPr>
              <w:t xml:space="preserve">5.0×</w:t>
            </w:r>
          </w:p>
        </w:tc>
      </w:tr>
      <w:tr>
        <w:tc>
          <w:tcPr>
            <w:tcW w:type="dxa" w:w="1760"/>
            <w:tcMar>
              <w:top w:type="dxa" w:w="50"/>
              <w:left w:type="dxa" w:w="100"/>
              <w:bottom w:type="dxa" w:w="50"/>
              <w:right w:type="dxa" w:w="100"/>
            </w:tcMar>
            <w:vAlign w:val="center"/>
          </w:tcPr>
          <w:p>
            <w:pPr>
              <w:jc w:val="left"/>
            </w:pPr>
            <w:r>
              <w:rPr>
                <w:b w:val="false"/>
                <w:bCs w:val="false"/>
                <w:sz w:val="19"/>
                <w:szCs w:val="19"/>
              </w:rPr>
              <w:t xml:space="preserve">1000</w:t>
            </w:r>
          </w:p>
        </w:tc>
        <w:tc>
          <w:tcPr>
            <w:tcW w:type="dxa" w:w="2200"/>
            <w:tcMar>
              <w:top w:type="dxa" w:w="50"/>
              <w:left w:type="dxa" w:w="100"/>
              <w:bottom w:type="dxa" w:w="50"/>
              <w:right w:type="dxa" w:w="100"/>
            </w:tcMar>
            <w:vAlign w:val="center"/>
          </w:tcPr>
          <w:p>
            <w:pPr>
              <w:jc w:val="center"/>
            </w:pPr>
            <w:r>
              <w:rPr>
                <w:b w:val="false"/>
                <w:bCs w:val="false"/>
                <w:sz w:val="19"/>
                <w:szCs w:val="19"/>
              </w:rPr>
              <w:t xml:space="preserve">2,588,583</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10.0×</w:t>
            </w:r>
          </w:p>
        </w:tc>
        <w:tc>
          <w:tcPr>
            <w:tcW w:type="dxa" w:w="2400"/>
            <w:tcMar>
              <w:top w:type="dxa" w:w="50"/>
              <w:left w:type="dxa" w:w="100"/>
              <w:bottom w:type="dxa" w:w="50"/>
              <w:right w:type="dxa" w:w="100"/>
            </w:tcMar>
            <w:vAlign w:val="center"/>
          </w:tcPr>
          <w:p>
            <w:pPr>
              <w:jc w:val="center"/>
            </w:pPr>
            <w:r>
              <w:rPr>
                <w:b w:val="false"/>
                <w:bCs w:val="false"/>
                <w:sz w:val="19"/>
                <w:szCs w:val="19"/>
              </w:rPr>
              <w:t xml:space="preserve">5,474,384</w:t>
            </w:r>
          </w:p>
        </w:tc>
        <w:tc>
          <w:tcPr>
            <w:tcW w:type="dxa" w:w="1600"/>
            <w:tcMar>
              <w:top w:type="dxa" w:w="50"/>
              <w:left w:type="dxa" w:w="100"/>
              <w:bottom w:type="dxa" w:w="50"/>
              <w:right w:type="dxa" w:w="100"/>
            </w:tcMar>
            <w:vAlign w:val="center"/>
          </w:tcPr>
          <w:p>
            <w:pPr>
              <w:jc w:val="center"/>
            </w:pPr>
            <w:r>
              <w:rPr>
                <w:b w:val="false"/>
                <w:bCs w:val="false"/>
                <w:sz w:val="19"/>
                <w:szCs w:val="19"/>
              </w:rPr>
              <w:t xml:space="preserve">9.99×</w:t>
            </w:r>
          </w:p>
        </w:tc>
      </w:tr>
    </w:tbl>
    <w:p>
      <w:pPr>
        <w:spacing w:after="160" w:before="60"/>
      </w:pPr>
      <w:r>
        <w:rPr>
          <w:i/>
          <w:iCs/>
          <w:color w:val="555555"/>
          <w:sz w:val="18"/>
          <w:szCs w:val="18"/>
        </w:rPr>
        <w:t xml:space="preserve">Table 9. Resistance vs. interconnect length at the 7 nm node.</w:t>
      </w:r>
    </w:p>
    <w:p>
      <w:pPr>
        <w:spacing w:after="160" w:line="300"/>
      </w:pPr>
      <w:r>
        <w:rPr>
          <w:i w:val="false"/>
          <w:iCs w:val="false"/>
          <w:sz w:val="22"/>
          <w:szCs w:val="22"/>
        </w:rPr>
        <w:t xml:space="preserve">At a fixed length, however, the two materials scale very differently with technology node (Table 10). From 45 nm to 7 nm, copper resistance grows 295× at 1000 μm, driven by the exponential-like rise in ρ_eff documented in Section 1. Over the same range, CNT bundle resistance grows only 12.5×, because its scaling is governed by the shrinking bundle population (N_metallic falling from 299 to 24) rather than by any node-dependent change in the scattering physics — the phonon mean free path λ_eff is fixed regardless of node. This asymmetry is the central reason the CNT/Cu resistance ratio narrows so much between 45 nm and 7 nm even though the CNT bundle itself is not improving in any absolute 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200"/>
        <w:gridCol w:w="1400"/>
        <w:gridCol w:w="2400"/>
        <w:gridCol w:w="1600"/>
      </w:tblGrid>
      <w:tr>
        <w:trPr>
          <w:tblHeader/>
        </w:trPr>
        <w:tc>
          <w:tcPr>
            <w:tcW w:type="dxa" w:w="1760"/>
            <w:shd w:fill="DCE6F1" w:color="auto" w:val="clear"/>
            <w:tcMar>
              <w:top w:type="dxa" w:w="60"/>
              <w:left w:type="dxa" w:w="100"/>
              <w:bottom w:type="dxa" w:w="60"/>
              <w:right w:type="dxa" w:w="100"/>
            </w:tcMar>
            <w:vAlign w:val="center"/>
          </w:tcPr>
          <w:p>
            <w:pPr>
              <w:jc w:val="center"/>
            </w:pPr>
            <w:r>
              <w:rPr>
                <w:b/>
                <w:bCs/>
                <w:color w:val="1F4E79"/>
                <w:sz w:val="19"/>
                <w:szCs w:val="19"/>
              </w:rPr>
              <w:t xml:space="preserve">Node</w:t>
            </w:r>
          </w:p>
        </w:tc>
        <w:tc>
          <w:tcPr>
            <w:tcW w:type="dxa" w:w="2200"/>
            <w:shd w:fill="DCE6F1" w:color="auto" w:val="clear"/>
            <w:tcMar>
              <w:top w:type="dxa" w:w="60"/>
              <w:left w:type="dxa" w:w="100"/>
              <w:bottom w:type="dxa" w:w="60"/>
              <w:right w:type="dxa" w:w="100"/>
            </w:tcMar>
            <w:vAlign w:val="center"/>
          </w:tcPr>
          <w:p>
            <w:pPr>
              <w:jc w:val="center"/>
            </w:pPr>
            <w:r>
              <w:rPr>
                <w:b/>
                <w:bCs/>
                <w:color w:val="1F4E79"/>
                <w:sz w:val="19"/>
                <w:szCs w:val="19"/>
              </w:rPr>
              <w:t xml:space="preserve">Cu R (kΩ)</w:t>
            </w:r>
          </w:p>
        </w:tc>
        <w:tc>
          <w:tcPr>
            <w:tcW w:type="dxa" w:w="1400"/>
            <w:shd w:fill="DCE6F1" w:color="auto" w:val="clear"/>
            <w:tcMar>
              <w:top w:type="dxa" w:w="60"/>
              <w:left w:type="dxa" w:w="100"/>
              <w:bottom w:type="dxa" w:w="60"/>
              <w:right w:type="dxa" w:w="100"/>
            </w:tcMar>
            <w:vAlign w:val="center"/>
          </w:tcPr>
          <w:p>
            <w:pPr>
              <w:jc w:val="center"/>
            </w:pPr>
            <w:r>
              <w:rPr>
                <w:b/>
                <w:bCs/>
                <w:color w:val="1F4E79"/>
                <w:sz w:val="19"/>
                <w:szCs w:val="19"/>
              </w:rPr>
              <w:t xml:space="preserve">Growth</w:t>
            </w:r>
          </w:p>
        </w:tc>
        <w:tc>
          <w:tcPr>
            <w:tcW w:type="dxa" w:w="2400"/>
            <w:shd w:fill="DCE6F1" w:color="auto" w:val="clear"/>
            <w:tcMar>
              <w:top w:type="dxa" w:w="60"/>
              <w:left w:type="dxa" w:w="100"/>
              <w:bottom w:type="dxa" w:w="60"/>
              <w:right w:type="dxa" w:w="100"/>
            </w:tcMar>
            <w:vAlign w:val="center"/>
          </w:tcPr>
          <w:p>
            <w:pPr>
              <w:jc w:val="center"/>
            </w:pPr>
            <w:r>
              <w:rPr>
                <w:b/>
                <w:bCs/>
                <w:color w:val="1F4E79"/>
                <w:sz w:val="19"/>
                <w:szCs w:val="19"/>
              </w:rPr>
              <w:t xml:space="preserve">CNT R (kΩ)</w:t>
            </w:r>
          </w:p>
        </w:tc>
        <w:tc>
          <w:tcPr>
            <w:tcW w:type="dxa" w:w="1600"/>
            <w:shd w:fill="DCE6F1" w:color="auto" w:val="clear"/>
            <w:tcMar>
              <w:top w:type="dxa" w:w="60"/>
              <w:left w:type="dxa" w:w="100"/>
              <w:bottom w:type="dxa" w:w="60"/>
              <w:right w:type="dxa" w:w="100"/>
            </w:tcMar>
            <w:vAlign w:val="center"/>
          </w:tcPr>
          <w:p>
            <w:pPr>
              <w:jc w:val="center"/>
            </w:pPr>
            <w:r>
              <w:rPr>
                <w:b/>
                <w:bCs/>
                <w:color w:val="1F4E79"/>
                <w:sz w:val="19"/>
                <w:szCs w:val="19"/>
              </w:rPr>
              <w:t xml:space="preserve">Growth</w:t>
            </w:r>
          </w:p>
        </w:tc>
      </w:tr>
      <w:tr>
        <w:tc>
          <w:tcPr>
            <w:tcW w:type="dxa" w:w="1760"/>
            <w:tcMar>
              <w:top w:type="dxa" w:w="50"/>
              <w:left w:type="dxa" w:w="100"/>
              <w:bottom w:type="dxa" w:w="50"/>
              <w:right w:type="dxa" w:w="100"/>
            </w:tcMar>
            <w:vAlign w:val="center"/>
          </w:tcPr>
          <w:p>
            <w:pPr>
              <w:jc w:val="left"/>
            </w:pPr>
            <w:r>
              <w:rPr>
                <w:b w:val="false"/>
                <w:bCs w:val="false"/>
                <w:sz w:val="19"/>
                <w:szCs w:val="19"/>
              </w:rPr>
              <w:t xml:space="preserve">45 nm</w:t>
            </w:r>
          </w:p>
        </w:tc>
        <w:tc>
          <w:tcPr>
            <w:tcW w:type="dxa" w:w="2200"/>
            <w:tcMar>
              <w:top w:type="dxa" w:w="50"/>
              <w:left w:type="dxa" w:w="100"/>
              <w:bottom w:type="dxa" w:w="50"/>
              <w:right w:type="dxa" w:w="100"/>
            </w:tcMar>
            <w:vAlign w:val="center"/>
          </w:tcPr>
          <w:p>
            <w:pPr>
              <w:jc w:val="center"/>
            </w:pPr>
            <w:r>
              <w:rPr>
                <w:b w:val="false"/>
                <w:bCs w:val="false"/>
                <w:sz w:val="19"/>
                <w:szCs w:val="19"/>
              </w:rPr>
              <w:t xml:space="preserve">8.78</w:t>
            </w:r>
          </w:p>
        </w:tc>
        <w:tc>
          <w:tcPr>
            <w:tcW w:type="dxa" w:w="1400"/>
            <w:tcMar>
              <w:top w:type="dxa" w:w="50"/>
              <w:left w:type="dxa" w:w="100"/>
              <w:bottom w:type="dxa" w:w="50"/>
              <w:right w:type="dxa" w:w="100"/>
            </w:tcMar>
            <w:vAlign w:val="center"/>
          </w:tcPr>
          <w:p>
            <w:pPr>
              <w:jc w:val="center"/>
            </w:pPr>
            <w:r>
              <w:rPr>
                <w:b w:val="false"/>
                <w:bCs w:val="false"/>
                <w:sz w:val="19"/>
                <w:szCs w:val="19"/>
              </w:rPr>
              <w:t xml:space="preserve">1×</w:t>
            </w:r>
          </w:p>
        </w:tc>
        <w:tc>
          <w:tcPr>
            <w:tcW w:type="dxa" w:w="2400"/>
            <w:tcMar>
              <w:top w:type="dxa" w:w="50"/>
              <w:left w:type="dxa" w:w="100"/>
              <w:bottom w:type="dxa" w:w="50"/>
              <w:right w:type="dxa" w:w="100"/>
            </w:tcMar>
            <w:vAlign w:val="center"/>
          </w:tcPr>
          <w:p>
            <w:pPr>
              <w:jc w:val="center"/>
            </w:pPr>
            <w:r>
              <w:rPr>
                <w:b w:val="false"/>
                <w:bCs w:val="false"/>
                <w:sz w:val="19"/>
                <w:szCs w:val="19"/>
              </w:rPr>
              <w:t xml:space="preserve">439.4</w:t>
            </w:r>
          </w:p>
        </w:tc>
        <w:tc>
          <w:tcPr>
            <w:tcW w:type="dxa" w:w="1600"/>
            <w:tcMar>
              <w:top w:type="dxa" w:w="50"/>
              <w:left w:type="dxa" w:w="100"/>
              <w:bottom w:type="dxa" w:w="50"/>
              <w:right w:type="dxa" w:w="100"/>
            </w:tcMar>
            <w:vAlign w:val="center"/>
          </w:tcPr>
          <w:p>
            <w:pPr>
              <w:jc w:val="center"/>
            </w:pPr>
            <w:r>
              <w:rPr>
                <w:b w:val="false"/>
                <w:bCs w:val="false"/>
                <w:sz w:val="19"/>
                <w:szCs w:val="19"/>
              </w:rPr>
              <w:t xml:space="preserve">1×</w:t>
            </w:r>
          </w:p>
        </w:tc>
      </w:tr>
      <w:tr>
        <w:tc>
          <w:tcPr>
            <w:tcW w:type="dxa" w:w="1760"/>
            <w:tcMar>
              <w:top w:type="dxa" w:w="50"/>
              <w:left w:type="dxa" w:w="100"/>
              <w:bottom w:type="dxa" w:w="50"/>
              <w:right w:type="dxa" w:w="100"/>
            </w:tcMar>
            <w:vAlign w:val="center"/>
          </w:tcPr>
          <w:p>
            <w:pPr>
              <w:jc w:val="left"/>
            </w:pPr>
            <w:r>
              <w:rPr>
                <w:b w:val="false"/>
                <w:bCs w:val="false"/>
                <w:sz w:val="19"/>
                <w:szCs w:val="19"/>
              </w:rPr>
              <w:t xml:space="preserve">22 nm</w:t>
            </w:r>
          </w:p>
        </w:tc>
        <w:tc>
          <w:tcPr>
            <w:tcW w:type="dxa" w:w="2200"/>
            <w:tcMar>
              <w:top w:type="dxa" w:w="50"/>
              <w:left w:type="dxa" w:w="100"/>
              <w:bottom w:type="dxa" w:w="50"/>
              <w:right w:type="dxa" w:w="100"/>
            </w:tcMar>
            <w:vAlign w:val="center"/>
          </w:tcPr>
          <w:p>
            <w:pPr>
              <w:jc w:val="center"/>
            </w:pPr>
            <w:r>
              <w:rPr>
                <w:b w:val="false"/>
                <w:bCs w:val="false"/>
                <w:sz w:val="19"/>
                <w:szCs w:val="19"/>
              </w:rPr>
              <w:t xml:space="preserve">49.5</w:t>
            </w:r>
          </w:p>
        </w:tc>
        <w:tc>
          <w:tcPr>
            <w:tcW w:type="dxa" w:w="1400"/>
            <w:tcMar>
              <w:top w:type="dxa" w:w="50"/>
              <w:left w:type="dxa" w:w="100"/>
              <w:bottom w:type="dxa" w:w="50"/>
              <w:right w:type="dxa" w:w="100"/>
            </w:tcMar>
            <w:vAlign w:val="center"/>
          </w:tcPr>
          <w:p>
            <w:pPr>
              <w:jc w:val="center"/>
            </w:pPr>
            <w:r>
              <w:rPr>
                <w:b w:val="false"/>
                <w:bCs w:val="false"/>
                <w:sz w:val="19"/>
                <w:szCs w:val="19"/>
              </w:rPr>
              <w:t xml:space="preserve">5.6×</w:t>
            </w:r>
          </w:p>
        </w:tc>
        <w:tc>
          <w:tcPr>
            <w:tcW w:type="dxa" w:w="2400"/>
            <w:tcMar>
              <w:top w:type="dxa" w:w="50"/>
              <w:left w:type="dxa" w:w="100"/>
              <w:bottom w:type="dxa" w:w="50"/>
              <w:right w:type="dxa" w:w="100"/>
            </w:tcMar>
            <w:vAlign w:val="center"/>
          </w:tcPr>
          <w:p>
            <w:pPr>
              <w:jc w:val="center"/>
            </w:pPr>
            <w:r>
              <w:rPr>
                <w:b w:val="false"/>
                <w:bCs w:val="false"/>
                <w:sz w:val="19"/>
                <w:szCs w:val="19"/>
              </w:rPr>
              <w:t xml:space="preserve">1,123</w:t>
            </w:r>
          </w:p>
        </w:tc>
        <w:tc>
          <w:tcPr>
            <w:tcW w:type="dxa" w:w="1600"/>
            <w:tcMar>
              <w:top w:type="dxa" w:w="50"/>
              <w:left w:type="dxa" w:w="100"/>
              <w:bottom w:type="dxa" w:w="50"/>
              <w:right w:type="dxa" w:w="100"/>
            </w:tcMar>
            <w:vAlign w:val="center"/>
          </w:tcPr>
          <w:p>
            <w:pPr>
              <w:jc w:val="center"/>
            </w:pPr>
            <w:r>
              <w:rPr>
                <w:b w:val="false"/>
                <w:bCs w:val="false"/>
                <w:sz w:val="19"/>
                <w:szCs w:val="19"/>
              </w:rPr>
              <w:t xml:space="preserve">2.6×</w:t>
            </w:r>
          </w:p>
        </w:tc>
      </w:tr>
      <w:tr>
        <w:tc>
          <w:tcPr>
            <w:tcW w:type="dxa" w:w="1760"/>
            <w:tcMar>
              <w:top w:type="dxa" w:w="50"/>
              <w:left w:type="dxa" w:w="100"/>
              <w:bottom w:type="dxa" w:w="50"/>
              <w:right w:type="dxa" w:w="100"/>
            </w:tcMar>
            <w:vAlign w:val="center"/>
          </w:tcPr>
          <w:p>
            <w:pPr>
              <w:jc w:val="left"/>
            </w:pPr>
            <w:r>
              <w:rPr>
                <w:b w:val="false"/>
                <w:bCs w:val="false"/>
                <w:sz w:val="19"/>
                <w:szCs w:val="19"/>
              </w:rPr>
              <w:t xml:space="preserve">14 nm</w:t>
            </w:r>
          </w:p>
        </w:tc>
        <w:tc>
          <w:tcPr>
            <w:tcW w:type="dxa" w:w="2200"/>
            <w:tcMar>
              <w:top w:type="dxa" w:w="50"/>
              <w:left w:type="dxa" w:w="100"/>
              <w:bottom w:type="dxa" w:w="50"/>
              <w:right w:type="dxa" w:w="100"/>
            </w:tcMar>
            <w:vAlign w:val="center"/>
          </w:tcPr>
          <w:p>
            <w:pPr>
              <w:jc w:val="center"/>
            </w:pPr>
            <w:r>
              <w:rPr>
                <w:b w:val="false"/>
                <w:bCs w:val="false"/>
                <w:sz w:val="19"/>
                <w:szCs w:val="19"/>
              </w:rPr>
              <w:t xml:space="preserve">280.1</w:t>
            </w:r>
          </w:p>
        </w:tc>
        <w:tc>
          <w:tcPr>
            <w:tcW w:type="dxa" w:w="1400"/>
            <w:tcMar>
              <w:top w:type="dxa" w:w="50"/>
              <w:left w:type="dxa" w:w="100"/>
              <w:bottom w:type="dxa" w:w="50"/>
              <w:right w:type="dxa" w:w="100"/>
            </w:tcMar>
            <w:vAlign w:val="center"/>
          </w:tcPr>
          <w:p>
            <w:pPr>
              <w:jc w:val="center"/>
            </w:pPr>
            <w:r>
              <w:rPr>
                <w:b w:val="false"/>
                <w:bCs w:val="false"/>
                <w:sz w:val="19"/>
                <w:szCs w:val="19"/>
              </w:rPr>
              <w:t xml:space="preserve">31.9×</w:t>
            </w:r>
          </w:p>
        </w:tc>
        <w:tc>
          <w:tcPr>
            <w:tcW w:type="dxa" w:w="2400"/>
            <w:tcMar>
              <w:top w:type="dxa" w:w="50"/>
              <w:left w:type="dxa" w:w="100"/>
              <w:bottom w:type="dxa" w:w="50"/>
              <w:right w:type="dxa" w:w="100"/>
            </w:tcMar>
            <w:vAlign w:val="center"/>
          </w:tcPr>
          <w:p>
            <w:pPr>
              <w:jc w:val="center"/>
            </w:pPr>
            <w:r>
              <w:rPr>
                <w:b w:val="false"/>
                <w:bCs w:val="false"/>
                <w:sz w:val="19"/>
                <w:szCs w:val="19"/>
              </w:rPr>
              <w:t xml:space="preserve">2,085</w:t>
            </w:r>
          </w:p>
        </w:tc>
        <w:tc>
          <w:tcPr>
            <w:tcW w:type="dxa" w:w="1600"/>
            <w:tcMar>
              <w:top w:type="dxa" w:w="50"/>
              <w:left w:type="dxa" w:w="100"/>
              <w:bottom w:type="dxa" w:w="50"/>
              <w:right w:type="dxa" w:w="100"/>
            </w:tcMar>
            <w:vAlign w:val="center"/>
          </w:tcPr>
          <w:p>
            <w:pPr>
              <w:jc w:val="center"/>
            </w:pPr>
            <w:r>
              <w:rPr>
                <w:b w:val="false"/>
                <w:bCs w:val="false"/>
                <w:sz w:val="19"/>
                <w:szCs w:val="19"/>
              </w:rPr>
              <w:t xml:space="preserve">4.7×</w:t>
            </w:r>
          </w:p>
        </w:tc>
      </w:tr>
      <w:tr>
        <w:tc>
          <w:tcPr>
            <w:tcW w:type="dxa" w:w="1760"/>
            <w:tcMar>
              <w:top w:type="dxa" w:w="50"/>
              <w:left w:type="dxa" w:w="100"/>
              <w:bottom w:type="dxa" w:w="50"/>
              <w:right w:type="dxa" w:w="100"/>
            </w:tcMar>
            <w:vAlign w:val="center"/>
          </w:tcPr>
          <w:p>
            <w:pPr>
              <w:jc w:val="left"/>
            </w:pPr>
            <w:r>
              <w:rPr>
                <w:b w:val="false"/>
                <w:bCs w:val="false"/>
                <w:sz w:val="19"/>
                <w:szCs w:val="19"/>
              </w:rPr>
              <w:t xml:space="preserve">7 nm</w:t>
            </w:r>
          </w:p>
        </w:tc>
        <w:tc>
          <w:tcPr>
            <w:tcW w:type="dxa" w:w="2200"/>
            <w:tcMar>
              <w:top w:type="dxa" w:w="50"/>
              <w:left w:type="dxa" w:w="100"/>
              <w:bottom w:type="dxa" w:w="50"/>
              <w:right w:type="dxa" w:w="100"/>
            </w:tcMar>
            <w:vAlign w:val="center"/>
          </w:tcPr>
          <w:p>
            <w:pPr>
              <w:jc w:val="center"/>
            </w:pPr>
            <w:r>
              <w:rPr>
                <w:b w:val="false"/>
                <w:bCs w:val="false"/>
                <w:sz w:val="19"/>
                <w:szCs w:val="19"/>
              </w:rPr>
              <w:t xml:space="preserve">2,589</w:t>
            </w:r>
          </w:p>
        </w:tc>
        <w:tc>
          <w:tcPr>
            <w:tcW w:type="dxa" w:w="1400"/>
            <w:tcMar>
              <w:top w:type="dxa" w:w="50"/>
              <w:left w:type="dxa" w:w="100"/>
              <w:bottom w:type="dxa" w:w="50"/>
              <w:right w:type="dxa" w:w="100"/>
            </w:tcMar>
            <w:vAlign w:val="center"/>
          </w:tcPr>
          <w:p>
            <w:pPr>
              <w:jc w:val="center"/>
            </w:pPr>
            <w:r>
              <w:rPr>
                <w:b w:val="false"/>
                <w:bCs w:val="false"/>
                <w:sz w:val="19"/>
                <w:szCs w:val="19"/>
              </w:rPr>
              <w:t xml:space="preserve">295×</w:t>
            </w:r>
          </w:p>
        </w:tc>
        <w:tc>
          <w:tcPr>
            <w:tcW w:type="dxa" w:w="2400"/>
            <w:tcMar>
              <w:top w:type="dxa" w:w="50"/>
              <w:left w:type="dxa" w:w="100"/>
              <w:bottom w:type="dxa" w:w="50"/>
              <w:right w:type="dxa" w:w="100"/>
            </w:tcMar>
            <w:vAlign w:val="center"/>
          </w:tcPr>
          <w:p>
            <w:pPr>
              <w:jc w:val="center"/>
            </w:pPr>
            <w:r>
              <w:rPr>
                <w:b w:val="false"/>
                <w:bCs w:val="false"/>
                <w:sz w:val="19"/>
                <w:szCs w:val="19"/>
              </w:rPr>
              <w:t xml:space="preserve">5,474</w:t>
            </w:r>
          </w:p>
        </w:tc>
        <w:tc>
          <w:tcPr>
            <w:tcW w:type="dxa" w:w="1600"/>
            <w:tcMar>
              <w:top w:type="dxa" w:w="50"/>
              <w:left w:type="dxa" w:w="100"/>
              <w:bottom w:type="dxa" w:w="50"/>
              <w:right w:type="dxa" w:w="100"/>
            </w:tcMar>
            <w:vAlign w:val="center"/>
          </w:tcPr>
          <w:p>
            <w:pPr>
              <w:jc w:val="center"/>
            </w:pPr>
            <w:r>
              <w:rPr>
                <w:b w:val="false"/>
                <w:bCs w:val="false"/>
                <w:sz w:val="19"/>
                <w:szCs w:val="19"/>
              </w:rPr>
              <w:t xml:space="preserve">12.5×</w:t>
            </w:r>
          </w:p>
        </w:tc>
      </w:tr>
    </w:tbl>
    <w:p>
      <w:pPr>
        <w:spacing w:after="160" w:before="60"/>
      </w:pPr>
      <w:r>
        <w:rPr>
          <w:i/>
          <w:iCs/>
          <w:color w:val="555555"/>
          <w:sz w:val="18"/>
          <w:szCs w:val="18"/>
        </w:rPr>
        <w:t xml:space="preserve">Table 10. Resistance vs. technology node at a fixed interconnect length of 1000 μm.</w:t>
      </w:r>
    </w:p>
    <w:p>
      <w:pPr>
        <w:pStyle w:val="Heading2"/>
        <w:spacing w:after="140" w:before="320"/>
      </w:pPr>
      <w:r>
        <w:t xml:space="preserve">6. Crossover Analysis</w:t>
      </w:r>
    </w:p>
    <w:p>
      <w:pPr>
        <w:spacing w:after="160" w:line="300"/>
      </w:pPr>
      <w:r>
        <w:rPr>
          <w:i w:val="false"/>
          <w:iCs w:val="false"/>
          <w:sz w:val="22"/>
          <w:szCs w:val="22"/>
        </w:rPr>
        <w:t xml:space="preserve">Combining the length- and node-scaling behavior above identifies the approximate interconnect length at which copper and CNT-bundle resistance become equal at each node (Table 11). At 45 nm the crossover length is far beyond any practical on-chip interconnect (&gt;&gt;10 mm), so copper is unconditionally preferred. The crossover length shrinks steadily with node — to roughly 10 mm at 22 nm, 2.5 mm at 14 nm, and only about 400 μm at 7 nm — to the point that at 7 nm the two materials are nearly resistance-matched around 400–500 μm, squarely within the range of practical intermediate/global interconnect lengths. Whether this near-parity translates into an actual CNT advantage for longer 7 nm interconnects depends heavily on reducing the contact resistance folded into the R_Q term, which was held fixed in this analysis (R_contact assumed negligible/zero) and represents the largest remaining source of uncertainty in the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3600"/>
        <w:gridCol w:w="4000"/>
      </w:tblGrid>
      <w:tr>
        <w:trPr>
          <w:tblHeader/>
        </w:trPr>
        <w:tc>
          <w:tcPr>
            <w:tcW w:type="dxa" w:w="1760"/>
            <w:shd w:fill="DCE6F1" w:color="auto" w:val="clear"/>
            <w:tcMar>
              <w:top w:type="dxa" w:w="60"/>
              <w:left w:type="dxa" w:w="100"/>
              <w:bottom w:type="dxa" w:w="60"/>
              <w:right w:type="dxa" w:w="100"/>
            </w:tcMar>
            <w:vAlign w:val="center"/>
          </w:tcPr>
          <w:p>
            <w:pPr>
              <w:jc w:val="center"/>
            </w:pPr>
            <w:r>
              <w:rPr>
                <w:b/>
                <w:bCs/>
                <w:color w:val="1F4E79"/>
                <w:sz w:val="19"/>
                <w:szCs w:val="19"/>
              </w:rPr>
              <w:t xml:space="preserve">Node</w:t>
            </w:r>
          </w:p>
        </w:tc>
        <w:tc>
          <w:tcPr>
            <w:tcW w:type="dxa" w:w="3600"/>
            <w:shd w:fill="DCE6F1" w:color="auto" w:val="clear"/>
            <w:tcMar>
              <w:top w:type="dxa" w:w="60"/>
              <w:left w:type="dxa" w:w="100"/>
              <w:bottom w:type="dxa" w:w="60"/>
              <w:right w:type="dxa" w:w="100"/>
            </w:tcMar>
            <w:vAlign w:val="center"/>
          </w:tcPr>
          <w:p>
            <w:pPr>
              <w:jc w:val="center"/>
            </w:pPr>
            <w:r>
              <w:rPr>
                <w:b/>
                <w:bCs/>
                <w:color w:val="1F4E79"/>
                <w:sz w:val="19"/>
                <w:szCs w:val="19"/>
              </w:rPr>
              <w:t xml:space="preserve">Length for R_Cu ≈ R_CNT</w:t>
            </w:r>
          </w:p>
        </w:tc>
        <w:tc>
          <w:tcPr>
            <w:tcW w:type="dxa" w:w="4000"/>
            <w:shd w:fill="DCE6F1" w:color="auto" w:val="clear"/>
            <w:tcMar>
              <w:top w:type="dxa" w:w="60"/>
              <w:left w:type="dxa" w:w="100"/>
              <w:bottom w:type="dxa" w:w="60"/>
              <w:right w:type="dxa" w:w="100"/>
            </w:tcMar>
            <w:vAlign w:val="center"/>
          </w:tcPr>
          <w:p>
            <w:pPr>
              <w:jc w:val="center"/>
            </w:pPr>
            <w:r>
              <w:rPr>
                <w:b/>
                <w:bCs/>
                <w:color w:val="1F4E79"/>
                <w:sz w:val="19"/>
                <w:szCs w:val="19"/>
              </w:rPr>
              <w:t xml:space="preserve">Status</w:t>
            </w:r>
          </w:p>
        </w:tc>
      </w:tr>
      <w:tr>
        <w:tc>
          <w:tcPr>
            <w:tcW w:type="dxa" w:w="1760"/>
            <w:tcMar>
              <w:top w:type="dxa" w:w="50"/>
              <w:left w:type="dxa" w:w="100"/>
              <w:bottom w:type="dxa" w:w="50"/>
              <w:right w:type="dxa" w:w="100"/>
            </w:tcMar>
            <w:vAlign w:val="center"/>
          </w:tcPr>
          <w:p>
            <w:pPr>
              <w:jc w:val="left"/>
            </w:pPr>
            <w:r>
              <w:rPr>
                <w:b w:val="false"/>
                <w:bCs w:val="false"/>
                <w:sz w:val="19"/>
                <w:szCs w:val="19"/>
              </w:rPr>
              <w:t xml:space="preserve">45 nm</w:t>
            </w:r>
          </w:p>
        </w:tc>
        <w:tc>
          <w:tcPr>
            <w:tcW w:type="dxa" w:w="3600"/>
            <w:tcMar>
              <w:top w:type="dxa" w:w="50"/>
              <w:left w:type="dxa" w:w="100"/>
              <w:bottom w:type="dxa" w:w="50"/>
              <w:right w:type="dxa" w:w="100"/>
            </w:tcMar>
            <w:vAlign w:val="center"/>
          </w:tcPr>
          <w:p>
            <w:pPr>
              <w:jc w:val="center"/>
            </w:pPr>
            <w:r>
              <w:rPr>
                <w:b w:val="false"/>
                <w:bCs w:val="false"/>
                <w:sz w:val="19"/>
                <w:szCs w:val="19"/>
              </w:rPr>
              <w:t xml:space="preserve">&gt;&gt; 10 mm</w:t>
            </w:r>
          </w:p>
        </w:tc>
        <w:tc>
          <w:tcPr>
            <w:tcW w:type="dxa" w:w="4000"/>
            <w:tcMar>
              <w:top w:type="dxa" w:w="50"/>
              <w:left w:type="dxa" w:w="100"/>
              <w:bottom w:type="dxa" w:w="50"/>
              <w:right w:type="dxa" w:w="100"/>
            </w:tcMar>
            <w:vAlign w:val="center"/>
          </w:tcPr>
          <w:p>
            <w:pPr>
              <w:jc w:val="center"/>
            </w:pPr>
            <w:r>
              <w:rPr>
                <w:b w:val="false"/>
                <w:bCs w:val="false"/>
                <w:sz w:val="19"/>
                <w:szCs w:val="19"/>
              </w:rPr>
              <w:t xml:space="preserve">Cu always better</w:t>
            </w:r>
          </w:p>
        </w:tc>
      </w:tr>
      <w:tr>
        <w:tc>
          <w:tcPr>
            <w:tcW w:type="dxa" w:w="1760"/>
            <w:tcMar>
              <w:top w:type="dxa" w:w="50"/>
              <w:left w:type="dxa" w:w="100"/>
              <w:bottom w:type="dxa" w:w="50"/>
              <w:right w:type="dxa" w:w="100"/>
            </w:tcMar>
            <w:vAlign w:val="center"/>
          </w:tcPr>
          <w:p>
            <w:pPr>
              <w:jc w:val="left"/>
            </w:pPr>
            <w:r>
              <w:rPr>
                <w:b w:val="false"/>
                <w:bCs w:val="false"/>
                <w:sz w:val="19"/>
                <w:szCs w:val="19"/>
              </w:rPr>
              <w:t xml:space="preserve">22 nm</w:t>
            </w:r>
          </w:p>
        </w:tc>
        <w:tc>
          <w:tcPr>
            <w:tcW w:type="dxa" w:w="3600"/>
            <w:tcMar>
              <w:top w:type="dxa" w:w="50"/>
              <w:left w:type="dxa" w:w="100"/>
              <w:bottom w:type="dxa" w:w="50"/>
              <w:right w:type="dxa" w:w="100"/>
            </w:tcMar>
            <w:vAlign w:val="center"/>
          </w:tcPr>
          <w:p>
            <w:pPr>
              <w:jc w:val="center"/>
            </w:pPr>
            <w:r>
              <w:rPr>
                <w:b w:val="false"/>
                <w:bCs w:val="false"/>
                <w:sz w:val="19"/>
                <w:szCs w:val="19"/>
              </w:rPr>
              <w:t xml:space="preserve">~10 mm</w:t>
            </w:r>
          </w:p>
        </w:tc>
        <w:tc>
          <w:tcPr>
            <w:tcW w:type="dxa" w:w="4000"/>
            <w:tcMar>
              <w:top w:type="dxa" w:w="50"/>
              <w:left w:type="dxa" w:w="100"/>
              <w:bottom w:type="dxa" w:w="50"/>
              <w:right w:type="dxa" w:w="100"/>
            </w:tcMar>
            <w:vAlign w:val="center"/>
          </w:tcPr>
          <w:p>
            <w:pPr>
              <w:jc w:val="center"/>
            </w:pPr>
            <w:r>
              <w:rPr>
                <w:b w:val="false"/>
                <w:bCs w:val="false"/>
                <w:sz w:val="19"/>
                <w:szCs w:val="19"/>
              </w:rPr>
              <w:t xml:space="preserve">Cu better for chip scale</w:t>
            </w:r>
          </w:p>
        </w:tc>
      </w:tr>
      <w:tr>
        <w:tc>
          <w:tcPr>
            <w:tcW w:type="dxa" w:w="1760"/>
            <w:tcMar>
              <w:top w:type="dxa" w:w="50"/>
              <w:left w:type="dxa" w:w="100"/>
              <w:bottom w:type="dxa" w:w="50"/>
              <w:right w:type="dxa" w:w="100"/>
            </w:tcMar>
            <w:vAlign w:val="center"/>
          </w:tcPr>
          <w:p>
            <w:pPr>
              <w:jc w:val="left"/>
            </w:pPr>
            <w:r>
              <w:rPr>
                <w:b w:val="false"/>
                <w:bCs w:val="false"/>
                <w:sz w:val="19"/>
                <w:szCs w:val="19"/>
              </w:rPr>
              <w:t xml:space="preserve">14 nm</w:t>
            </w:r>
          </w:p>
        </w:tc>
        <w:tc>
          <w:tcPr>
            <w:tcW w:type="dxa" w:w="3600"/>
            <w:tcMar>
              <w:top w:type="dxa" w:w="50"/>
              <w:left w:type="dxa" w:w="100"/>
              <w:bottom w:type="dxa" w:w="50"/>
              <w:right w:type="dxa" w:w="100"/>
            </w:tcMar>
            <w:vAlign w:val="center"/>
          </w:tcPr>
          <w:p>
            <w:pPr>
              <w:jc w:val="center"/>
            </w:pPr>
            <w:r>
              <w:rPr>
                <w:b w:val="false"/>
                <w:bCs w:val="false"/>
                <w:sz w:val="19"/>
                <w:szCs w:val="19"/>
              </w:rPr>
              <w:t xml:space="preserve">~2.5 mm</w:t>
            </w:r>
          </w:p>
        </w:tc>
        <w:tc>
          <w:tcPr>
            <w:tcW w:type="dxa" w:w="4000"/>
            <w:tcMar>
              <w:top w:type="dxa" w:w="50"/>
              <w:left w:type="dxa" w:w="100"/>
              <w:bottom w:type="dxa" w:w="50"/>
              <w:right w:type="dxa" w:w="100"/>
            </w:tcMar>
            <w:vAlign w:val="center"/>
          </w:tcPr>
          <w:p>
            <w:pPr>
              <w:jc w:val="center"/>
            </w:pPr>
            <w:r>
              <w:rPr>
                <w:b w:val="false"/>
                <w:bCs w:val="false"/>
                <w:sz w:val="19"/>
                <w:szCs w:val="19"/>
              </w:rPr>
              <w:t xml:space="preserve">Cu better, gap narrowing</w:t>
            </w:r>
          </w:p>
        </w:tc>
      </w:tr>
      <w:tr>
        <w:tc>
          <w:tcPr>
            <w:tcW w:type="dxa" w:w="1760"/>
            <w:tcMar>
              <w:top w:type="dxa" w:w="50"/>
              <w:left w:type="dxa" w:w="100"/>
              <w:bottom w:type="dxa" w:w="50"/>
              <w:right w:type="dxa" w:w="100"/>
            </w:tcMar>
            <w:vAlign w:val="center"/>
          </w:tcPr>
          <w:p>
            <w:pPr>
              <w:jc w:val="left"/>
            </w:pPr>
            <w:r>
              <w:rPr>
                <w:b w:val="false"/>
                <w:bCs w:val="false"/>
                <w:sz w:val="19"/>
                <w:szCs w:val="19"/>
              </w:rPr>
              <w:t xml:space="preserve">7 nm</w:t>
            </w:r>
          </w:p>
        </w:tc>
        <w:tc>
          <w:tcPr>
            <w:tcW w:type="dxa" w:w="3600"/>
            <w:tcMar>
              <w:top w:type="dxa" w:w="50"/>
              <w:left w:type="dxa" w:w="100"/>
              <w:bottom w:type="dxa" w:w="50"/>
              <w:right w:type="dxa" w:w="100"/>
            </w:tcMar>
            <w:vAlign w:val="center"/>
          </w:tcPr>
          <w:p>
            <w:pPr>
              <w:jc w:val="center"/>
            </w:pPr>
            <w:r>
              <w:rPr>
                <w:b w:val="false"/>
                <w:bCs w:val="false"/>
                <w:sz w:val="19"/>
                <w:szCs w:val="19"/>
              </w:rPr>
              <w:t xml:space="preserve">~400 μm</w:t>
            </w:r>
          </w:p>
        </w:tc>
        <w:tc>
          <w:tcPr>
            <w:tcW w:type="dxa" w:w="4000"/>
            <w:tcMar>
              <w:top w:type="dxa" w:w="50"/>
              <w:left w:type="dxa" w:w="100"/>
              <w:bottom w:type="dxa" w:w="50"/>
              <w:right w:type="dxa" w:w="100"/>
            </w:tcMar>
            <w:vAlign w:val="center"/>
          </w:tcPr>
          <w:p>
            <w:pPr>
              <w:jc w:val="center"/>
            </w:pPr>
            <w:r>
              <w:rPr>
                <w:b w:val="false"/>
                <w:bCs w:val="false"/>
                <w:sz w:val="19"/>
                <w:szCs w:val="19"/>
              </w:rPr>
              <w:t xml:space="preserve">Near-competitive at 500 μm</w:t>
            </w:r>
          </w:p>
        </w:tc>
      </w:tr>
    </w:tbl>
    <w:p>
      <w:pPr>
        <w:spacing w:after="160" w:before="60"/>
      </w:pPr>
      <w:r>
        <w:rPr>
          <w:i/>
          <w:iCs/>
          <w:color w:val="555555"/>
          <w:sz w:val="18"/>
          <w:szCs w:val="18"/>
        </w:rPr>
        <w:t xml:space="preserve">Table 11. Approximate interconnect length at which copper and CNT-bundle resistance converge, by node.</w:t>
      </w:r>
    </w:p>
    <w:p>
      <w:pPr>
        <w:pStyle w:val="Heading2"/>
        <w:spacing w:after="140" w:before="320"/>
      </w:pPr>
      <w:r>
        <w:t xml:space="preserve">7. Discussion</w:t>
      </w:r>
    </w:p>
    <w:p>
      <w:pPr>
        <w:pStyle w:val="Heading3"/>
        <w:spacing w:after="100" w:before="220"/>
      </w:pPr>
      <w:r>
        <w:t xml:space="preserve">7.1 Physical Origins of Copper's Degradation at Advanced Nodes</w:t>
      </w:r>
    </w:p>
    <w:p>
      <w:pPr>
        <w:spacing w:after="160" w:line="300"/>
      </w:pPr>
      <w:r>
        <w:rPr>
          <w:i w:val="false"/>
          <w:iCs w:val="false"/>
          <w:sz w:val="22"/>
          <w:szCs w:val="22"/>
        </w:rPr>
        <w:t xml:space="preserve">Copper's resistivity blow-up follows directly from the two scattering mechanisms compounding as the effective wire width shrinks toward and below copper's electron mean free path (λ_Cu ≈ 40 nm). At 45 nm, the effective width (38 nm) is still comparable to λ_Cu, surface scattering is mild, and the grain-boundary parameter α (≈0.17) sits in a sub-linear regime, so ρ_eff is only 45% above bulk. By 14 nm, the effective width (11 nm) is well below λ_Cu, surface scattering becomes strong, and α (≈0.55) moves deep into the grain-boundary-saturation regime, so both mechanisms degrade resistivity simultaneously and ρ_eff reaches 4.6× bulk. At 7 nm the effective width (5 nm) is comparable to a single scattering mean free path, surface specularity is effectively zero, and the grain-boundary multiplier alone adds another 2.5× on top — the two effects compound rather than simply add, producing the observed 10×-bulk resistivity.</w:t>
      </w:r>
    </w:p>
    <w:p>
      <w:pPr>
        <w:pStyle w:val="Heading3"/>
        <w:spacing w:after="100" w:before="220"/>
      </w:pPr>
      <w:r>
        <w:t xml:space="preserve">7.2 Physical Origins of CNT Bundle Behavior</w:t>
      </w:r>
    </w:p>
    <w:p>
      <w:pPr>
        <w:spacing w:after="160" w:line="300"/>
      </w:pPr>
      <w:r>
        <w:rPr>
          <w:i w:val="false"/>
          <w:iCs w:val="false"/>
          <w:sz w:val="22"/>
          <w:szCs w:val="22"/>
        </w:rPr>
        <w:t xml:space="preserve">The CNT bundle's total resistance can be written as R_total = (R_Q + R_Q·(L/λ_eff) + R_contact) / N_metallic. At interconnect lengths of 100 μm and above, the scattering term R_Q·(L/λ_eff) (≈13.1 MΩ per tube at 100 μm) dominates the numerator and is essentially fixed by phonon physics — it does not change with technology node. What does change with node is N_metallic, which falls from 299 to 24 across the nodes studied, so the bundle's resistance scales only through this geometric packing factor. This is the mechanistic reason CNT resistance scales far more mildly with node (12.5× from 45 to 7 nm) than copper's scattering-driven resistivity (295× over the same range): the CNT penalty is architectural (how many tubes fit and conduct), not a fundamental materials degradation.</w:t>
      </w:r>
    </w:p>
    <w:p>
      <w:pPr>
        <w:pStyle w:val="Heading3"/>
        <w:spacing w:after="100" w:before="220"/>
      </w:pPr>
      <w:r>
        <w:t xml:space="preserve">7.3 Trade-offs and Engineering Implications</w:t>
      </w:r>
    </w:p>
    <w:p>
      <w:pPr>
        <w:spacing w:after="160" w:line="300"/>
      </w:pPr>
      <w:r>
        <w:rPr>
          <w:i w:val="false"/>
          <w:iCs w:val="false"/>
          <w:sz w:val="22"/>
          <w:szCs w:val="22"/>
        </w:rPr>
        <w:t xml:space="preserve">Taken together, the results point to a technology-node-dependent crossover rather than a universal winner. At 45 nm and 22 nm, copper's resistance advantage (50× and 23×) is overwhelming and copper remains the clear choice for essentially all interconnect lengths. At 14 nm the copper advantage has fallen to 7–8× and continues to erode. At 7 nm, copper's resistance advantage has collapsed to only 2.1×, and for interconnects longer than roughly 400–500 μm the two materials are approximately resistance-matched — even though copper still wins decisively on inductance (140–174× lower at 7 nm) and capacitance (5.6× lower), and retains a mature, well-understood manufacturing process.</w:t>
      </w:r>
    </w:p>
    <w:p>
      <w:pPr>
        <w:spacing w:after="160" w:line="300"/>
      </w:pPr>
      <w:r>
        <w:rPr>
          <w:i w:val="false"/>
          <w:iCs w:val="false"/>
          <w:sz w:val="22"/>
          <w:szCs w:val="22"/>
        </w:rPr>
        <w:t xml:space="preserve">CNT bundles' principal liabilities are not resistive in nature at advanced nodes but reactive: kinetic inductance 140–174× higher than copper's magnetic inductance at 7 nm, and quantum capacitance that keeps total capacitance 5.3–5.6× higher across every node and length studied. Both are intrinsic, quantum-mechanical properties of one-dimensional conduction and cannot be engineered away the way copper's electromigration or barrier-thickness problems can — they can only be diluted by increasing the number of metallic tubes in a bundle (raising N_metallic and the metallic fraction F_m, nominally ≈1/3 in this study), which is itself a difficult fabrication and sorting problem. The RCA results reinforce that these penalties are not merely a delay inconvenience: at several node/length combinations (notably 14 nm at longer lengths) the CNT interconnect's RC loading was severe enough to distort the carry-chain waveform into a non-digital, sawtooth-like signal, a signal-integrity failure mode that copper did not exhibit at any node or length studied.</w:t>
      </w:r>
    </w:p>
    <w:p>
      <w:pPr>
        <w:spacing w:after="160" w:line="300"/>
      </w:pPr>
      <w:r>
        <w:rPr>
          <w:i w:val="false"/>
          <w:iCs w:val="false"/>
          <w:sz w:val="22"/>
          <w:szCs w:val="22"/>
        </w:rPr>
        <w:t xml:space="preserve">For near-term nodes (7 nm and below), copper — typically paired with cobalt or ruthenium barrier/liner metals to recover some of the effective cross-section lost to a pure tantalum-nitride barrier — remains the more practical choice for local and intermediate interconnects, where its inductance and capacitance advantages continue to dominate overall RC delay despite its degraded resistivity. CNT bundles are most credible as a medium-term candidate for global interconnects longer than about 500 μm at 7 nm and below, and specifically contingent on reducing the metal–nanotube contact resistance folded into R_Q and on improving the sorted metallic fraction toward F_m → 1, either of which could reduce bundle resistance several-fold. Even so, because RC delay depends on both terms, matching or beating copper's resistance alone would not be sufficient: the 5.3–5.6× capacitance penalty means resistance and capacitance must be improved together for CNT interconnects to offer a genuine delay advantage rather than merely a resistance advantage.</w:t>
      </w:r>
    </w:p>
    <w:p>
      <w:pPr>
        <w:pBdr>
          <w:top w:val="single" w:color="AAAAAA" w:sz="4" w:space="8"/>
        </w:pBdr>
        <w:spacing w:before="200"/>
      </w:pPr>
      <w:r>
        <w:rPr>
          <w:i/>
          <w:iCs/>
          <w:color w:val="666666"/>
          <w:sz w:val="18"/>
          <w:szCs w:val="18"/>
        </w:rPr>
        <w:t xml:space="preserve">Data sources: RLC parameters extracted from CNT_Cu_RLC_Calculations_corrected.xlsx (Summary sheet); circuit-level delay and waveform behavior extracted from LTspice transient simulations (interconnect.pdf, 18 pages) of a two-stage 90 nm CMOS inverter chain and a 4-bit ripple-carry adder.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2026-08-05T18:09:11.131Z</dcterms:created>
  <dcterms:modified xsi:type="dcterms:W3CDTF">2026-08-05T18:09:11.148Z</dcterms:modified>
</cp:coreProperties>
</file>

<file path=docProps/custom.xml><?xml version="1.0" encoding="utf-8"?>
<Properties xmlns="http://schemas.openxmlformats.org/officeDocument/2006/custom-properties" xmlns:vt="http://schemas.openxmlformats.org/officeDocument/2006/docPropsVTypes"/>
</file>