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0"/>
          <w:szCs w:val="40"/>
        </w:rPr>
        <w:t xml:space="preserve">RLC Modeling Formula Reference</w:t>
      </w:r>
    </w:p>
    <w:p>
      <w:pPr>
        <w:spacing w:after="40" w:before="0"/>
      </w:pPr>
      <w:r>
        <w:rPr>
          <w:rFonts w:ascii="Calibri" w:cs="Calibri" w:eastAsia="Calibri" w:hAnsi="Calibri"/>
          <w:b w:val="false"/>
          <w:bCs w:val="false"/>
          <w:color w:val="444444"/>
          <w:sz w:val="22"/>
          <w:szCs w:val="22"/>
        </w:rPr>
        <w:t xml:space="preserve">CNT Bundle vs Copper Interconnects  |  Technology Nodes: 45nm · 22nm · 14nm · 7nm</w:t>
      </w:r>
    </w:p>
    <w:p>
      <w:pPr>
        <w:spacing w:after="280" w:before="0"/>
      </w:pPr>
      <w:r>
        <w:rPr>
          <w:rFonts w:ascii="Calibri" w:cs="Calibri" w:eastAsia="Calibri" w:hAnsi="Calibri"/>
          <w:color w:val="666666"/>
          <w:sz w:val="18"/>
          <w:szCs w:val="18"/>
        </w:rPr>
        <w:t xml:space="preserve">Latest analytical models with paper citations  |  For use in ngspice / MATLAB simulation</w:t>
      </w:r>
    </w:p>
    <w:p>
      <w:pPr>
        <w:shd w:fill="1F3864" w:val="clear"/>
        <w:spacing w:after="120" w:before="200"/>
      </w:pPr>
      <w:r>
        <w:rPr>
          <w:rFonts w:ascii="Calibri" w:cs="Calibri" w:eastAsia="Calibri" w:hAnsi="Calibri"/>
          <w:b/>
          <w:bCs/>
          <w:color w:val="FFFFFF"/>
          <w:sz w:val="22"/>
          <w:szCs w:val="22"/>
        </w:rPr>
        <w:t xml:space="preserve">  SECTION 1 — INTERCONNECT GEOMETRY PARAMETERS  </w:t>
      </w:r>
    </w:p>
    <w:p>
      <w:pPr>
        <w:spacing w:after="60" w:before="60"/>
      </w:pPr>
    </w:p>
    <w:p>
      <w:pPr>
        <w:spacing w:after="60" w:before="60"/>
      </w:pPr>
      <w:r>
        <w:rPr>
          <w:rFonts w:ascii="Calibri" w:cs="Calibri" w:eastAsia="Calibri" w:hAnsi="Calibri"/>
          <w:b w:val="false"/>
          <w:bCs w:val="false"/>
          <w:sz w:val="20"/>
          <w:szCs w:val="20"/>
        </w:rPr>
        <w:t xml:space="preserve">All electrical parameters depend first on physical wire dimensions per technology node. The table below uses ITRS 2009 (for 45nm/22nm), ITRS 2.0 2015 (for 14nm), and IRDS 2022 (for 7nm) as sources for nominal dimensions.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2000"/>
      </w:tblGrid>
      <w:tr>
        <w:trPr>
          <w:tblHeader/>
        </w:trPr>
        <w:tc>
          <w:tcPr>
            <w:tcW w:type="dxa" w:w="2500"/>
            <w:shd w:fill="1F3864" w:val="clear"/>
          </w:tcPr>
          <w:p>
            <w:pPr>
              <w:jc w:val="center"/>
            </w:pPr>
            <w:r>
              <w:rPr>
                <w:rFonts w:ascii="Calibri" w:cs="Calibri" w:eastAsia="Calibri" w:hAnsi="Calibri"/>
                <w:b/>
                <w:bCs/>
                <w:color w:val="FFFFFF"/>
                <w:sz w:val="18"/>
                <w:szCs w:val="18"/>
              </w:rPr>
              <w:t xml:space="preserve">Parameter</w:t>
            </w:r>
          </w:p>
        </w:tc>
        <w:tc>
          <w:tcPr>
            <w:tcW w:type="dxa" w:w="900"/>
            <w:shd w:fill="1F3864" w:val="clear"/>
          </w:tcPr>
          <w:p>
            <w:pPr>
              <w:jc w:val="center"/>
            </w:pPr>
            <w:r>
              <w:rPr>
                <w:rFonts w:ascii="Calibri" w:cs="Calibri" w:eastAsia="Calibri" w:hAnsi="Calibri"/>
                <w:b/>
                <w:bCs/>
                <w:color w:val="FFFFFF"/>
                <w:sz w:val="18"/>
                <w:szCs w:val="18"/>
              </w:rPr>
              <w:t xml:space="preserve">45nm</w:t>
            </w:r>
          </w:p>
        </w:tc>
        <w:tc>
          <w:tcPr>
            <w:tcW w:type="dxa" w:w="900"/>
            <w:shd w:fill="1F3864" w:val="clear"/>
          </w:tcPr>
          <w:p>
            <w:pPr>
              <w:jc w:val="center"/>
            </w:pPr>
            <w:r>
              <w:rPr>
                <w:rFonts w:ascii="Calibri" w:cs="Calibri" w:eastAsia="Calibri" w:hAnsi="Calibri"/>
                <w:b/>
                <w:bCs/>
                <w:color w:val="FFFFFF"/>
                <w:sz w:val="18"/>
                <w:szCs w:val="18"/>
              </w:rPr>
              <w:t xml:space="preserve">22nm</w:t>
            </w:r>
          </w:p>
        </w:tc>
        <w:tc>
          <w:tcPr>
            <w:tcW w:type="dxa" w:w="900"/>
            <w:shd w:fill="1F3864" w:val="clear"/>
          </w:tcPr>
          <w:p>
            <w:pPr>
              <w:jc w:val="center"/>
            </w:pPr>
            <w:r>
              <w:rPr>
                <w:rFonts w:ascii="Calibri" w:cs="Calibri" w:eastAsia="Calibri" w:hAnsi="Calibri"/>
                <w:b/>
                <w:bCs/>
                <w:color w:val="FFFFFF"/>
                <w:sz w:val="18"/>
                <w:szCs w:val="18"/>
              </w:rPr>
              <w:t xml:space="preserve">14nm</w:t>
            </w:r>
          </w:p>
        </w:tc>
        <w:tc>
          <w:tcPr>
            <w:tcW w:type="dxa" w:w="900"/>
            <w:shd w:fill="1F3864" w:val="clear"/>
          </w:tcPr>
          <w:p>
            <w:pPr>
              <w:jc w:val="center"/>
            </w:pPr>
            <w:r>
              <w:rPr>
                <w:rFonts w:ascii="Calibri" w:cs="Calibri" w:eastAsia="Calibri" w:hAnsi="Calibri"/>
                <w:b/>
                <w:bCs/>
                <w:color w:val="FFFFFF"/>
                <w:sz w:val="18"/>
                <w:szCs w:val="18"/>
              </w:rPr>
              <w:t xml:space="preserve">7nm</w:t>
            </w:r>
          </w:p>
        </w:tc>
        <w:tc>
          <w:tcPr>
            <w:tcW w:type="dxa" w:w="2000"/>
            <w:shd w:fill="1F3864" w:val="clear"/>
          </w:tcPr>
          <w:p>
            <w:pPr>
              <w:jc w:val="center"/>
            </w:pPr>
            <w:r>
              <w:rPr>
                <w:rFonts w:ascii="Calibri" w:cs="Calibri" w:eastAsia="Calibri" w:hAnsi="Calibri"/>
                <w:b/>
                <w:bCs/>
                <w:color w:val="FFFFFF"/>
                <w:sz w:val="18"/>
                <w:szCs w:val="18"/>
              </w:rPr>
              <w:t xml:space="preserve">Source</w:t>
            </w:r>
          </w:p>
        </w:tc>
      </w:tr>
      <w:tr>
        <w:tc>
          <w:tcPr>
            <w:tcW w:type="dxa" w:w="2500"/>
            <w:shd w:fill="F2F2F2" w:val="clear"/>
          </w:tcPr>
          <w:p>
            <w:pPr>
              <w:jc w:val="left"/>
            </w:pPr>
            <w:r>
              <w:rPr>
                <w:rFonts w:ascii="Calibri" w:cs="Calibri" w:eastAsia="Calibri" w:hAnsi="Calibri"/>
                <w:sz w:val="18"/>
                <w:szCs w:val="18"/>
              </w:rPr>
              <w:t xml:space="preserve">Wire Width W (nm)</w:t>
            </w:r>
          </w:p>
        </w:tc>
        <w:tc>
          <w:tcPr>
            <w:tcW w:type="dxa" w:w="900"/>
            <w:shd w:fill="F2F2F2" w:val="clear"/>
          </w:tcPr>
          <w:p>
            <w:pPr>
              <w:jc w:val="center"/>
            </w:pPr>
            <w:r>
              <w:rPr>
                <w:rFonts w:ascii="Calibri" w:cs="Calibri" w:eastAsia="Calibri" w:hAnsi="Calibri"/>
                <w:sz w:val="18"/>
                <w:szCs w:val="18"/>
              </w:rPr>
              <w:t xml:space="preserve">45</w:t>
            </w:r>
          </w:p>
        </w:tc>
        <w:tc>
          <w:tcPr>
            <w:tcW w:type="dxa" w:w="900"/>
            <w:shd w:fill="F2F2F2" w:val="clear"/>
          </w:tcPr>
          <w:p>
            <w:pPr>
              <w:jc w:val="center"/>
            </w:pPr>
            <w:r>
              <w:rPr>
                <w:rFonts w:ascii="Calibri" w:cs="Calibri" w:eastAsia="Calibri" w:hAnsi="Calibri"/>
                <w:sz w:val="18"/>
                <w:szCs w:val="18"/>
              </w:rPr>
              <w:t xml:space="preserve">22</w:t>
            </w:r>
          </w:p>
        </w:tc>
        <w:tc>
          <w:tcPr>
            <w:tcW w:type="dxa" w:w="900"/>
            <w:shd w:fill="F2F2F2" w:val="clear"/>
          </w:tcPr>
          <w:p>
            <w:pPr>
              <w:jc w:val="center"/>
            </w:pPr>
            <w:r>
              <w:rPr>
                <w:rFonts w:ascii="Calibri" w:cs="Calibri" w:eastAsia="Calibri" w:hAnsi="Calibri"/>
                <w:sz w:val="18"/>
                <w:szCs w:val="18"/>
              </w:rPr>
              <w:t xml:space="preserve">14</w:t>
            </w:r>
          </w:p>
        </w:tc>
        <w:tc>
          <w:tcPr>
            <w:tcW w:type="dxa" w:w="900"/>
            <w:shd w:fill="F2F2F2" w:val="clear"/>
          </w:tcPr>
          <w:p>
            <w:pPr>
              <w:jc w:val="center"/>
            </w:pPr>
            <w:r>
              <w:rPr>
                <w:rFonts w:ascii="Calibri" w:cs="Calibri" w:eastAsia="Calibri" w:hAnsi="Calibri"/>
                <w:sz w:val="18"/>
                <w:szCs w:val="18"/>
              </w:rPr>
              <w:t xml:space="preserve">7</w:t>
            </w:r>
          </w:p>
        </w:tc>
        <w:tc>
          <w:tcPr>
            <w:tcW w:type="dxa" w:w="2000"/>
            <w:shd w:fill="F2F2F2" w:val="clear"/>
          </w:tcPr>
          <w:p>
            <w:pPr>
              <w:jc w:val="center"/>
            </w:pPr>
            <w:r>
              <w:rPr>
                <w:rFonts w:ascii="Calibri" w:cs="Calibri" w:eastAsia="Calibri" w:hAnsi="Calibri"/>
                <w:sz w:val="18"/>
                <w:szCs w:val="18"/>
              </w:rPr>
              <w:t xml:space="preserve">ITRS 2009 / IRDS 2022</w:t>
            </w:r>
          </w:p>
        </w:tc>
      </w:tr>
      <w:tr>
        <w:tc>
          <w:tcPr>
            <w:tcW w:type="dxa" w:w="2500"/>
            <w:shd w:fill="FFFFFF" w:val="clear"/>
          </w:tcPr>
          <w:p>
            <w:pPr>
              <w:jc w:val="left"/>
            </w:pPr>
            <w:r>
              <w:rPr>
                <w:rFonts w:ascii="Calibri" w:cs="Calibri" w:eastAsia="Calibri" w:hAnsi="Calibri"/>
                <w:sz w:val="18"/>
                <w:szCs w:val="18"/>
              </w:rPr>
              <w:t xml:space="preserve">Aspect Ratio (H/W)</w:t>
            </w:r>
          </w:p>
        </w:tc>
        <w:tc>
          <w:tcPr>
            <w:tcW w:type="dxa" w:w="900"/>
            <w:shd w:fill="FFFFFF" w:val="clear"/>
          </w:tcPr>
          <w:p>
            <w:pPr>
              <w:jc w:val="center"/>
            </w:pPr>
            <w:r>
              <w:rPr>
                <w:rFonts w:ascii="Calibri" w:cs="Calibri" w:eastAsia="Calibri" w:hAnsi="Calibri"/>
                <w:sz w:val="18"/>
                <w:szCs w:val="18"/>
              </w:rPr>
              <w:t xml:space="preserve">1.7</w:t>
            </w:r>
          </w:p>
        </w:tc>
        <w:tc>
          <w:tcPr>
            <w:tcW w:type="dxa" w:w="900"/>
            <w:shd w:fill="FFFFFF" w:val="clear"/>
          </w:tcPr>
          <w:p>
            <w:pPr>
              <w:jc w:val="center"/>
            </w:pPr>
            <w:r>
              <w:rPr>
                <w:rFonts w:ascii="Calibri" w:cs="Calibri" w:eastAsia="Calibri" w:hAnsi="Calibri"/>
                <w:sz w:val="18"/>
                <w:szCs w:val="18"/>
              </w:rPr>
              <w:t xml:space="preserve">1.8</w:t>
            </w:r>
          </w:p>
        </w:tc>
        <w:tc>
          <w:tcPr>
            <w:tcW w:type="dxa" w:w="900"/>
            <w:shd w:fill="FFFFFF" w:val="clear"/>
          </w:tcPr>
          <w:p>
            <w:pPr>
              <w:jc w:val="center"/>
            </w:pPr>
            <w:r>
              <w:rPr>
                <w:rFonts w:ascii="Calibri" w:cs="Calibri" w:eastAsia="Calibri" w:hAnsi="Calibri"/>
                <w:sz w:val="18"/>
                <w:szCs w:val="18"/>
              </w:rPr>
              <w:t xml:space="preserve">1.9</w:t>
            </w:r>
          </w:p>
        </w:tc>
        <w:tc>
          <w:tcPr>
            <w:tcW w:type="dxa" w:w="900"/>
            <w:shd w:fill="FFFFFF" w:val="clear"/>
          </w:tcPr>
          <w:p>
            <w:pPr>
              <w:jc w:val="center"/>
            </w:pPr>
            <w:r>
              <w:rPr>
                <w:rFonts w:ascii="Calibri" w:cs="Calibri" w:eastAsia="Calibri" w:hAnsi="Calibri"/>
                <w:sz w:val="18"/>
                <w:szCs w:val="18"/>
              </w:rPr>
              <w:t xml:space="preserve">2.0</w:t>
            </w:r>
          </w:p>
        </w:tc>
        <w:tc>
          <w:tcPr>
            <w:tcW w:type="dxa" w:w="2000"/>
            <w:shd w:fill="FFFFFF" w:val="clear"/>
          </w:tcPr>
          <w:p>
            <w:pPr>
              <w:jc w:val="center"/>
            </w:pPr>
            <w:r>
              <w:rPr>
                <w:rFonts w:ascii="Calibri" w:cs="Calibri" w:eastAsia="Calibri" w:hAnsi="Calibri"/>
                <w:sz w:val="18"/>
                <w:szCs w:val="18"/>
              </w:rPr>
              <w:t xml:space="preserve">ITRS 2009</w:t>
            </w:r>
          </w:p>
        </w:tc>
      </w:tr>
      <w:tr>
        <w:tc>
          <w:tcPr>
            <w:tcW w:type="dxa" w:w="2500"/>
            <w:shd w:fill="F2F2F2" w:val="clear"/>
          </w:tcPr>
          <w:p>
            <w:pPr>
              <w:jc w:val="left"/>
            </w:pPr>
            <w:r>
              <w:rPr>
                <w:rFonts w:ascii="Calibri" w:cs="Calibri" w:eastAsia="Calibri" w:hAnsi="Calibri"/>
                <w:sz w:val="18"/>
                <w:szCs w:val="18"/>
              </w:rPr>
              <w:t xml:space="preserve">Wire Height H (nm)</w:t>
            </w:r>
          </w:p>
        </w:tc>
        <w:tc>
          <w:tcPr>
            <w:tcW w:type="dxa" w:w="900"/>
            <w:shd w:fill="F2F2F2" w:val="clear"/>
          </w:tcPr>
          <w:p>
            <w:pPr>
              <w:jc w:val="center"/>
            </w:pPr>
            <w:r>
              <w:rPr>
                <w:rFonts w:ascii="Calibri" w:cs="Calibri" w:eastAsia="Calibri" w:hAnsi="Calibri"/>
                <w:sz w:val="18"/>
                <w:szCs w:val="18"/>
              </w:rPr>
              <w:t xml:space="preserve">76.5</w:t>
            </w:r>
          </w:p>
        </w:tc>
        <w:tc>
          <w:tcPr>
            <w:tcW w:type="dxa" w:w="900"/>
            <w:shd w:fill="F2F2F2" w:val="clear"/>
          </w:tcPr>
          <w:p>
            <w:pPr>
              <w:jc w:val="center"/>
            </w:pPr>
            <w:r>
              <w:rPr>
                <w:rFonts w:ascii="Calibri" w:cs="Calibri" w:eastAsia="Calibri" w:hAnsi="Calibri"/>
                <w:sz w:val="18"/>
                <w:szCs w:val="18"/>
              </w:rPr>
              <w:t xml:space="preserve">39.6</w:t>
            </w:r>
          </w:p>
        </w:tc>
        <w:tc>
          <w:tcPr>
            <w:tcW w:type="dxa" w:w="900"/>
            <w:shd w:fill="F2F2F2" w:val="clear"/>
          </w:tcPr>
          <w:p>
            <w:pPr>
              <w:jc w:val="center"/>
            </w:pPr>
            <w:r>
              <w:rPr>
                <w:rFonts w:ascii="Calibri" w:cs="Calibri" w:eastAsia="Calibri" w:hAnsi="Calibri"/>
                <w:sz w:val="18"/>
                <w:szCs w:val="18"/>
              </w:rPr>
              <w:t xml:space="preserve">26.6</w:t>
            </w:r>
          </w:p>
        </w:tc>
        <w:tc>
          <w:tcPr>
            <w:tcW w:type="dxa" w:w="900"/>
            <w:shd w:fill="F2F2F2" w:val="clear"/>
          </w:tcPr>
          <w:p>
            <w:pPr>
              <w:jc w:val="center"/>
            </w:pPr>
            <w:r>
              <w:rPr>
                <w:rFonts w:ascii="Calibri" w:cs="Calibri" w:eastAsia="Calibri" w:hAnsi="Calibri"/>
                <w:sz w:val="18"/>
                <w:szCs w:val="18"/>
              </w:rPr>
              <w:t xml:space="preserve">14</w:t>
            </w:r>
          </w:p>
        </w:tc>
        <w:tc>
          <w:tcPr>
            <w:tcW w:type="dxa" w:w="2000"/>
            <w:shd w:fill="F2F2F2" w:val="clear"/>
          </w:tcPr>
          <w:p>
            <w:pPr>
              <w:jc w:val="center"/>
            </w:pPr>
            <w:r>
              <w:rPr>
                <w:rFonts w:ascii="Calibri" w:cs="Calibri" w:eastAsia="Calibri" w:hAnsi="Calibri"/>
                <w:sz w:val="18"/>
                <w:szCs w:val="18"/>
              </w:rPr>
              <w:t xml:space="preserve">Derived from AR</w:t>
            </w:r>
          </w:p>
        </w:tc>
      </w:tr>
      <w:tr>
        <w:tc>
          <w:tcPr>
            <w:tcW w:type="dxa" w:w="2500"/>
            <w:shd w:fill="FFFFFF" w:val="clear"/>
          </w:tcPr>
          <w:p>
            <w:pPr>
              <w:jc w:val="left"/>
            </w:pPr>
            <w:r>
              <w:rPr>
                <w:rFonts w:ascii="Calibri" w:cs="Calibri" w:eastAsia="Calibri" w:hAnsi="Calibri"/>
                <w:sz w:val="18"/>
                <w:szCs w:val="18"/>
              </w:rPr>
              <w:t xml:space="preserve">Wire Spacing S (nm)</w:t>
            </w:r>
          </w:p>
        </w:tc>
        <w:tc>
          <w:tcPr>
            <w:tcW w:type="dxa" w:w="900"/>
            <w:shd w:fill="FFFFFF" w:val="clear"/>
          </w:tcPr>
          <w:p>
            <w:pPr>
              <w:jc w:val="center"/>
            </w:pPr>
            <w:r>
              <w:rPr>
                <w:rFonts w:ascii="Calibri" w:cs="Calibri" w:eastAsia="Calibri" w:hAnsi="Calibri"/>
                <w:sz w:val="18"/>
                <w:szCs w:val="18"/>
              </w:rPr>
              <w:t xml:space="preserve">45</w:t>
            </w:r>
          </w:p>
        </w:tc>
        <w:tc>
          <w:tcPr>
            <w:tcW w:type="dxa" w:w="900"/>
            <w:shd w:fill="FFFFFF" w:val="clear"/>
          </w:tcPr>
          <w:p>
            <w:pPr>
              <w:jc w:val="center"/>
            </w:pPr>
            <w:r>
              <w:rPr>
                <w:rFonts w:ascii="Calibri" w:cs="Calibri" w:eastAsia="Calibri" w:hAnsi="Calibri"/>
                <w:sz w:val="18"/>
                <w:szCs w:val="18"/>
              </w:rPr>
              <w:t xml:space="preserve">22</w:t>
            </w:r>
          </w:p>
        </w:tc>
        <w:tc>
          <w:tcPr>
            <w:tcW w:type="dxa" w:w="900"/>
            <w:shd w:fill="FFFFFF" w:val="clear"/>
          </w:tcPr>
          <w:p>
            <w:pPr>
              <w:jc w:val="center"/>
            </w:pPr>
            <w:r>
              <w:rPr>
                <w:rFonts w:ascii="Calibri" w:cs="Calibri" w:eastAsia="Calibri" w:hAnsi="Calibri"/>
                <w:sz w:val="18"/>
                <w:szCs w:val="18"/>
              </w:rPr>
              <w:t xml:space="preserve">14</w:t>
            </w:r>
          </w:p>
        </w:tc>
        <w:tc>
          <w:tcPr>
            <w:tcW w:type="dxa" w:w="900"/>
            <w:shd w:fill="FFFFFF" w:val="clear"/>
          </w:tcPr>
          <w:p>
            <w:pPr>
              <w:jc w:val="center"/>
            </w:pPr>
            <w:r>
              <w:rPr>
                <w:rFonts w:ascii="Calibri" w:cs="Calibri" w:eastAsia="Calibri" w:hAnsi="Calibri"/>
                <w:sz w:val="18"/>
                <w:szCs w:val="18"/>
              </w:rPr>
              <w:t xml:space="preserve">7</w:t>
            </w:r>
          </w:p>
        </w:tc>
        <w:tc>
          <w:tcPr>
            <w:tcW w:type="dxa" w:w="2000"/>
            <w:shd w:fill="FFFFFF" w:val="clear"/>
          </w:tcPr>
          <w:p>
            <w:pPr>
              <w:jc w:val="center"/>
            </w:pPr>
            <w:r>
              <w:rPr>
                <w:rFonts w:ascii="Calibri" w:cs="Calibri" w:eastAsia="Calibri" w:hAnsi="Calibri"/>
                <w:sz w:val="18"/>
                <w:szCs w:val="18"/>
              </w:rPr>
              <w:t xml:space="preserve">ITRS (S = W assumed)</w:t>
            </w:r>
          </w:p>
        </w:tc>
      </w:tr>
      <w:tr>
        <w:tc>
          <w:tcPr>
            <w:tcW w:type="dxa" w:w="2500"/>
            <w:shd w:fill="F2F2F2" w:val="clear"/>
          </w:tcPr>
          <w:p>
            <w:pPr>
              <w:jc w:val="left"/>
            </w:pPr>
            <w:r>
              <w:rPr>
                <w:rFonts w:ascii="Calibri" w:cs="Calibri" w:eastAsia="Calibri" w:hAnsi="Calibri"/>
                <w:sz w:val="18"/>
                <w:szCs w:val="18"/>
              </w:rPr>
              <w:t xml:space="preserve">Dielectric constant k</w:t>
            </w:r>
          </w:p>
        </w:tc>
        <w:tc>
          <w:tcPr>
            <w:tcW w:type="dxa" w:w="900"/>
            <w:shd w:fill="F2F2F2" w:val="clear"/>
          </w:tcPr>
          <w:p>
            <w:pPr>
              <w:jc w:val="center"/>
            </w:pPr>
            <w:r>
              <w:rPr>
                <w:rFonts w:ascii="Calibri" w:cs="Calibri" w:eastAsia="Calibri" w:hAnsi="Calibri"/>
                <w:sz w:val="18"/>
                <w:szCs w:val="18"/>
              </w:rPr>
              <w:t xml:space="preserve">3.0</w:t>
            </w:r>
          </w:p>
        </w:tc>
        <w:tc>
          <w:tcPr>
            <w:tcW w:type="dxa" w:w="900"/>
            <w:shd w:fill="F2F2F2" w:val="clear"/>
          </w:tcPr>
          <w:p>
            <w:pPr>
              <w:jc w:val="center"/>
            </w:pPr>
            <w:r>
              <w:rPr>
                <w:rFonts w:ascii="Calibri" w:cs="Calibri" w:eastAsia="Calibri" w:hAnsi="Calibri"/>
                <w:sz w:val="18"/>
                <w:szCs w:val="18"/>
              </w:rPr>
              <w:t xml:space="preserve">2.7</w:t>
            </w:r>
          </w:p>
        </w:tc>
        <w:tc>
          <w:tcPr>
            <w:tcW w:type="dxa" w:w="900"/>
            <w:shd w:fill="F2F2F2" w:val="clear"/>
          </w:tcPr>
          <w:p>
            <w:pPr>
              <w:jc w:val="center"/>
            </w:pPr>
            <w:r>
              <w:rPr>
                <w:rFonts w:ascii="Calibri" w:cs="Calibri" w:eastAsia="Calibri" w:hAnsi="Calibri"/>
                <w:sz w:val="18"/>
                <w:szCs w:val="18"/>
              </w:rPr>
              <w:t xml:space="preserve">2.5</w:t>
            </w:r>
          </w:p>
        </w:tc>
        <w:tc>
          <w:tcPr>
            <w:tcW w:type="dxa" w:w="900"/>
            <w:shd w:fill="F2F2F2" w:val="clear"/>
          </w:tcPr>
          <w:p>
            <w:pPr>
              <w:jc w:val="center"/>
            </w:pPr>
            <w:r>
              <w:rPr>
                <w:rFonts w:ascii="Calibri" w:cs="Calibri" w:eastAsia="Calibri" w:hAnsi="Calibri"/>
                <w:sz w:val="18"/>
                <w:szCs w:val="18"/>
              </w:rPr>
              <w:t xml:space="preserve">2.3</w:t>
            </w:r>
          </w:p>
        </w:tc>
        <w:tc>
          <w:tcPr>
            <w:tcW w:type="dxa" w:w="2000"/>
            <w:shd w:fill="F2F2F2" w:val="clear"/>
          </w:tcPr>
          <w:p>
            <w:pPr>
              <w:jc w:val="center"/>
            </w:pPr>
            <w:r>
              <w:rPr>
                <w:rFonts w:ascii="Calibri" w:cs="Calibri" w:eastAsia="Calibri" w:hAnsi="Calibri"/>
                <w:sz w:val="18"/>
                <w:szCs w:val="18"/>
              </w:rPr>
              <w:t xml:space="preserve">ITRS 2015 / IRDS 2022</w:t>
            </w:r>
          </w:p>
        </w:tc>
      </w:tr>
      <w:tr>
        <w:tc>
          <w:tcPr>
            <w:tcW w:type="dxa" w:w="2500"/>
            <w:shd w:fill="FFFFFF" w:val="clear"/>
          </w:tcPr>
          <w:p>
            <w:pPr>
              <w:jc w:val="left"/>
            </w:pPr>
            <w:r>
              <w:rPr>
                <w:rFonts w:ascii="Calibri" w:cs="Calibri" w:eastAsia="Calibri" w:hAnsi="Calibri"/>
                <w:sz w:val="18"/>
                <w:szCs w:val="18"/>
              </w:rPr>
              <w:t xml:space="preserve">Barrier thickness (nm)</w:t>
            </w:r>
          </w:p>
        </w:tc>
        <w:tc>
          <w:tcPr>
            <w:tcW w:type="dxa" w:w="900"/>
            <w:shd w:fill="FFFFFF" w:val="clear"/>
          </w:tcPr>
          <w:p>
            <w:pPr>
              <w:jc w:val="center"/>
            </w:pPr>
            <w:r>
              <w:rPr>
                <w:rFonts w:ascii="Calibri" w:cs="Calibri" w:eastAsia="Calibri" w:hAnsi="Calibri"/>
                <w:sz w:val="18"/>
                <w:szCs w:val="18"/>
              </w:rPr>
              <w:t xml:space="preserve">3.5</w:t>
            </w:r>
          </w:p>
        </w:tc>
        <w:tc>
          <w:tcPr>
            <w:tcW w:type="dxa" w:w="900"/>
            <w:shd w:fill="FFFFFF" w:val="clear"/>
          </w:tcPr>
          <w:p>
            <w:pPr>
              <w:jc w:val="center"/>
            </w:pPr>
            <w:r>
              <w:rPr>
                <w:rFonts w:ascii="Calibri" w:cs="Calibri" w:eastAsia="Calibri" w:hAnsi="Calibri"/>
                <w:sz w:val="18"/>
                <w:szCs w:val="18"/>
              </w:rPr>
              <w:t xml:space="preserve">2.0</w:t>
            </w:r>
          </w:p>
        </w:tc>
        <w:tc>
          <w:tcPr>
            <w:tcW w:type="dxa" w:w="900"/>
            <w:shd w:fill="FFFFFF" w:val="clear"/>
          </w:tcPr>
          <w:p>
            <w:pPr>
              <w:jc w:val="center"/>
            </w:pPr>
            <w:r>
              <w:rPr>
                <w:rFonts w:ascii="Calibri" w:cs="Calibri" w:eastAsia="Calibri" w:hAnsi="Calibri"/>
                <w:sz w:val="18"/>
                <w:szCs w:val="18"/>
              </w:rPr>
              <w:t xml:space="preserve">1.5</w:t>
            </w:r>
          </w:p>
        </w:tc>
        <w:tc>
          <w:tcPr>
            <w:tcW w:type="dxa" w:w="900"/>
            <w:shd w:fill="FFFFFF" w:val="clear"/>
          </w:tcPr>
          <w:p>
            <w:pPr>
              <w:jc w:val="center"/>
            </w:pPr>
            <w:r>
              <w:rPr>
                <w:rFonts w:ascii="Calibri" w:cs="Calibri" w:eastAsia="Calibri" w:hAnsi="Calibri"/>
                <w:sz w:val="18"/>
                <w:szCs w:val="18"/>
              </w:rPr>
              <w:t xml:space="preserve">1.0</w:t>
            </w:r>
          </w:p>
        </w:tc>
        <w:tc>
          <w:tcPr>
            <w:tcW w:type="dxa" w:w="2000"/>
            <w:shd w:fill="FFFFFF" w:val="clear"/>
          </w:tcPr>
          <w:p>
            <w:pPr>
              <w:jc w:val="center"/>
            </w:pPr>
            <w:r>
              <w:rPr>
                <w:rFonts w:ascii="Calibri" w:cs="Calibri" w:eastAsia="Calibri" w:hAnsi="Calibri"/>
                <w:sz w:val="18"/>
                <w:szCs w:val="18"/>
              </w:rPr>
              <w:t xml:space="preserve">ITRS 2009</w:t>
            </w:r>
          </w:p>
        </w:tc>
      </w:tr>
      <w:tr>
        <w:tc>
          <w:tcPr>
            <w:tcW w:type="dxa" w:w="2500"/>
            <w:shd w:fill="F2F2F2" w:val="clear"/>
          </w:tcPr>
          <w:p>
            <w:pPr>
              <w:jc w:val="left"/>
            </w:pPr>
            <w:r>
              <w:rPr>
                <w:rFonts w:ascii="Calibri" w:cs="Calibri" w:eastAsia="Calibri" w:hAnsi="Calibri"/>
                <w:sz w:val="18"/>
                <w:szCs w:val="18"/>
              </w:rPr>
              <w:t xml:space="preserve">Effective Cu width (nm)</w:t>
            </w:r>
          </w:p>
        </w:tc>
        <w:tc>
          <w:tcPr>
            <w:tcW w:type="dxa" w:w="900"/>
            <w:shd w:fill="F2F2F2" w:val="clear"/>
          </w:tcPr>
          <w:p>
            <w:pPr>
              <w:jc w:val="center"/>
            </w:pPr>
            <w:r>
              <w:rPr>
                <w:rFonts w:ascii="Calibri" w:cs="Calibri" w:eastAsia="Calibri" w:hAnsi="Calibri"/>
                <w:sz w:val="18"/>
                <w:szCs w:val="18"/>
              </w:rPr>
              <w:t xml:space="preserve">38</w:t>
            </w:r>
          </w:p>
        </w:tc>
        <w:tc>
          <w:tcPr>
            <w:tcW w:type="dxa" w:w="900"/>
            <w:shd w:fill="F2F2F2" w:val="clear"/>
          </w:tcPr>
          <w:p>
            <w:pPr>
              <w:jc w:val="center"/>
            </w:pPr>
            <w:r>
              <w:rPr>
                <w:rFonts w:ascii="Calibri" w:cs="Calibri" w:eastAsia="Calibri" w:hAnsi="Calibri"/>
                <w:sz w:val="18"/>
                <w:szCs w:val="18"/>
              </w:rPr>
              <w:t xml:space="preserve">18</w:t>
            </w:r>
          </w:p>
        </w:tc>
        <w:tc>
          <w:tcPr>
            <w:tcW w:type="dxa" w:w="900"/>
            <w:shd w:fill="F2F2F2" w:val="clear"/>
          </w:tcPr>
          <w:p>
            <w:pPr>
              <w:jc w:val="center"/>
            </w:pPr>
            <w:r>
              <w:rPr>
                <w:rFonts w:ascii="Calibri" w:cs="Calibri" w:eastAsia="Calibri" w:hAnsi="Calibri"/>
                <w:sz w:val="18"/>
                <w:szCs w:val="18"/>
              </w:rPr>
              <w:t xml:space="preserve">11</w:t>
            </w:r>
          </w:p>
        </w:tc>
        <w:tc>
          <w:tcPr>
            <w:tcW w:type="dxa" w:w="900"/>
            <w:shd w:fill="F2F2F2" w:val="clear"/>
          </w:tcPr>
          <w:p>
            <w:pPr>
              <w:jc w:val="center"/>
            </w:pPr>
            <w:r>
              <w:rPr>
                <w:rFonts w:ascii="Calibri" w:cs="Calibri" w:eastAsia="Calibri" w:hAnsi="Calibri"/>
                <w:sz w:val="18"/>
                <w:szCs w:val="18"/>
              </w:rPr>
              <w:t xml:space="preserve">5</w:t>
            </w:r>
          </w:p>
        </w:tc>
        <w:tc>
          <w:tcPr>
            <w:tcW w:type="dxa" w:w="2000"/>
            <w:shd w:fill="F2F2F2" w:val="clear"/>
          </w:tcPr>
          <w:p>
            <w:pPr>
              <w:jc w:val="center"/>
            </w:pPr>
            <w:r>
              <w:rPr>
                <w:rFonts w:ascii="Calibri" w:cs="Calibri" w:eastAsia="Calibri" w:hAnsi="Calibri"/>
                <w:sz w:val="18"/>
                <w:szCs w:val="18"/>
              </w:rPr>
              <w:t xml:space="preserve">W - 2×barrier</w:t>
            </w:r>
          </w:p>
        </w:tc>
      </w:tr>
      <w:tr>
        <w:tc>
          <w:tcPr>
            <w:tcW w:type="dxa" w:w="2500"/>
            <w:shd w:fill="FFFFFF" w:val="clear"/>
          </w:tcPr>
          <w:p>
            <w:pPr>
              <w:jc w:val="left"/>
            </w:pPr>
            <w:r>
              <w:rPr>
                <w:rFonts w:ascii="Calibri" w:cs="Calibri" w:eastAsia="Calibri" w:hAnsi="Calibri"/>
                <w:sz w:val="18"/>
                <w:szCs w:val="18"/>
              </w:rPr>
              <w:t xml:space="preserve">Grain size D (nm)</w:t>
            </w:r>
          </w:p>
        </w:tc>
        <w:tc>
          <w:tcPr>
            <w:tcW w:type="dxa" w:w="900"/>
            <w:shd w:fill="FFFFFF" w:val="clear"/>
          </w:tcPr>
          <w:p>
            <w:pPr>
              <w:jc w:val="center"/>
            </w:pPr>
            <w:r>
              <w:rPr>
                <w:rFonts w:ascii="Calibri" w:cs="Calibri" w:eastAsia="Calibri" w:hAnsi="Calibri"/>
                <w:sz w:val="18"/>
                <w:szCs w:val="18"/>
              </w:rPr>
              <w:t xml:space="preserve">45</w:t>
            </w:r>
          </w:p>
        </w:tc>
        <w:tc>
          <w:tcPr>
            <w:tcW w:type="dxa" w:w="900"/>
            <w:shd w:fill="FFFFFF" w:val="clear"/>
          </w:tcPr>
          <w:p>
            <w:pPr>
              <w:jc w:val="center"/>
            </w:pPr>
            <w:r>
              <w:rPr>
                <w:rFonts w:ascii="Calibri" w:cs="Calibri" w:eastAsia="Calibri" w:hAnsi="Calibri"/>
                <w:sz w:val="18"/>
                <w:szCs w:val="18"/>
              </w:rPr>
              <w:t xml:space="preserve">22</w:t>
            </w:r>
          </w:p>
        </w:tc>
        <w:tc>
          <w:tcPr>
            <w:tcW w:type="dxa" w:w="900"/>
            <w:shd w:fill="FFFFFF" w:val="clear"/>
          </w:tcPr>
          <w:p>
            <w:pPr>
              <w:jc w:val="center"/>
            </w:pPr>
            <w:r>
              <w:rPr>
                <w:rFonts w:ascii="Calibri" w:cs="Calibri" w:eastAsia="Calibri" w:hAnsi="Calibri"/>
                <w:sz w:val="18"/>
                <w:szCs w:val="18"/>
              </w:rPr>
              <w:t xml:space="preserve">14</w:t>
            </w:r>
          </w:p>
        </w:tc>
        <w:tc>
          <w:tcPr>
            <w:tcW w:type="dxa" w:w="900"/>
            <w:shd w:fill="FFFFFF" w:val="clear"/>
          </w:tcPr>
          <w:p>
            <w:pPr>
              <w:jc w:val="center"/>
            </w:pPr>
            <w:r>
              <w:rPr>
                <w:rFonts w:ascii="Calibri" w:cs="Calibri" w:eastAsia="Calibri" w:hAnsi="Calibri"/>
                <w:sz w:val="18"/>
                <w:szCs w:val="18"/>
              </w:rPr>
              <w:t xml:space="preserve">7</w:t>
            </w:r>
          </w:p>
        </w:tc>
        <w:tc>
          <w:tcPr>
            <w:tcW w:type="dxa" w:w="2000"/>
            <w:shd w:fill="FFFFFF" w:val="clear"/>
          </w:tcPr>
          <w:p>
            <w:pPr>
              <w:jc w:val="center"/>
            </w:pPr>
            <w:r>
              <w:rPr>
                <w:rFonts w:ascii="Calibri" w:cs="Calibri" w:eastAsia="Calibri" w:hAnsi="Calibri"/>
                <w:sz w:val="18"/>
                <w:szCs w:val="18"/>
              </w:rPr>
              <w:t xml:space="preserve">D ≈ W (standard assumption)</w:t>
            </w:r>
          </w:p>
        </w:tc>
      </w:tr>
      <w:tr>
        <w:tc>
          <w:tcPr>
            <w:tcW w:type="dxa" w:w="2500"/>
            <w:shd w:fill="F2F2F2" w:val="clear"/>
          </w:tcPr>
          <w:p>
            <w:pPr>
              <w:jc w:val="left"/>
            </w:pPr>
            <w:r>
              <w:rPr>
                <w:rFonts w:ascii="Calibri" w:cs="Calibri" w:eastAsia="Calibri" w:hAnsi="Calibri"/>
                <w:sz w:val="18"/>
                <w:szCs w:val="18"/>
              </w:rPr>
              <w:t xml:space="preserve">CNT diameter d (nm)</w:t>
            </w:r>
          </w:p>
        </w:tc>
        <w:tc>
          <w:tcPr>
            <w:tcW w:type="dxa" w:w="900"/>
            <w:shd w:fill="F2F2F2" w:val="clear"/>
          </w:tcPr>
          <w:p>
            <w:pPr>
              <w:jc w:val="center"/>
            </w:pPr>
            <w:r>
              <w:rPr>
                <w:rFonts w:ascii="Calibri" w:cs="Calibri" w:eastAsia="Calibri" w:hAnsi="Calibri"/>
                <w:sz w:val="18"/>
                <w:szCs w:val="18"/>
              </w:rPr>
              <w:t xml:space="preserve">1.6</w:t>
            </w:r>
          </w:p>
        </w:tc>
        <w:tc>
          <w:tcPr>
            <w:tcW w:type="dxa" w:w="900"/>
            <w:shd w:fill="F2F2F2" w:val="clear"/>
          </w:tcPr>
          <w:p>
            <w:pPr>
              <w:jc w:val="center"/>
            </w:pPr>
            <w:r>
              <w:rPr>
                <w:rFonts w:ascii="Calibri" w:cs="Calibri" w:eastAsia="Calibri" w:hAnsi="Calibri"/>
                <w:sz w:val="18"/>
                <w:szCs w:val="18"/>
              </w:rPr>
              <w:t xml:space="preserve">1.2</w:t>
            </w:r>
          </w:p>
        </w:tc>
        <w:tc>
          <w:tcPr>
            <w:tcW w:type="dxa" w:w="900"/>
            <w:shd w:fill="F2F2F2" w:val="clear"/>
          </w:tcPr>
          <w:p>
            <w:pPr>
              <w:jc w:val="center"/>
            </w:pPr>
            <w:r>
              <w:rPr>
                <w:rFonts w:ascii="Calibri" w:cs="Calibri" w:eastAsia="Calibri" w:hAnsi="Calibri"/>
                <w:sz w:val="18"/>
                <w:szCs w:val="18"/>
              </w:rPr>
              <w:t xml:space="preserve">1.0</w:t>
            </w:r>
          </w:p>
        </w:tc>
        <w:tc>
          <w:tcPr>
            <w:tcW w:type="dxa" w:w="900"/>
            <w:shd w:fill="F2F2F2" w:val="clear"/>
          </w:tcPr>
          <w:p>
            <w:pPr>
              <w:jc w:val="center"/>
            </w:pPr>
            <w:r>
              <w:rPr>
                <w:rFonts w:ascii="Calibri" w:cs="Calibri" w:eastAsia="Calibri" w:hAnsi="Calibri"/>
                <w:sz w:val="18"/>
                <w:szCs w:val="18"/>
              </w:rPr>
              <w:t xml:space="preserve">0.8</w:t>
            </w:r>
          </w:p>
        </w:tc>
        <w:tc>
          <w:tcPr>
            <w:tcW w:type="dxa" w:w="2000"/>
            <w:shd w:fill="F2F2F2" w:val="clear"/>
          </w:tcPr>
          <w:p>
            <w:pPr>
              <w:jc w:val="center"/>
            </w:pPr>
            <w:r>
              <w:rPr>
                <w:rFonts w:ascii="Calibri" w:cs="Calibri" w:eastAsia="Calibri" w:hAnsi="Calibri"/>
                <w:sz w:val="18"/>
                <w:szCs w:val="18"/>
              </w:rPr>
              <w:t xml:space="preserve">Naeemi &amp; Meindl 2007</w:t>
            </w:r>
          </w:p>
        </w:tc>
      </w:tr>
      <w:tr>
        <w:tc>
          <w:tcPr>
            <w:tcW w:type="dxa" w:w="2500"/>
            <w:shd w:fill="FFFFFF" w:val="clear"/>
          </w:tcPr>
          <w:p>
            <w:pPr>
              <w:jc w:val="left"/>
            </w:pPr>
            <w:r>
              <w:rPr>
                <w:rFonts w:ascii="Calibri" w:cs="Calibri" w:eastAsia="Calibri" w:hAnsi="Calibri"/>
                <w:sz w:val="18"/>
                <w:szCs w:val="18"/>
              </w:rPr>
              <w:t xml:space="preserve">CNT bundle Fm</w:t>
            </w:r>
          </w:p>
        </w:tc>
        <w:tc>
          <w:tcPr>
            <w:tcW w:type="dxa" w:w="900"/>
            <w:shd w:fill="FFFFFF" w:val="clear"/>
          </w:tcPr>
          <w:p>
            <w:pPr>
              <w:jc w:val="center"/>
            </w:pPr>
            <w:r>
              <w:rPr>
                <w:rFonts w:ascii="Calibri" w:cs="Calibri" w:eastAsia="Calibri" w:hAnsi="Calibri"/>
                <w:sz w:val="18"/>
                <w:szCs w:val="18"/>
              </w:rPr>
              <w:t xml:space="preserve">0.33</w:t>
            </w:r>
          </w:p>
        </w:tc>
        <w:tc>
          <w:tcPr>
            <w:tcW w:type="dxa" w:w="900"/>
            <w:shd w:fill="FFFFFF" w:val="clear"/>
          </w:tcPr>
          <w:p>
            <w:pPr>
              <w:jc w:val="center"/>
            </w:pPr>
            <w:r>
              <w:rPr>
                <w:rFonts w:ascii="Calibri" w:cs="Calibri" w:eastAsia="Calibri" w:hAnsi="Calibri"/>
                <w:sz w:val="18"/>
                <w:szCs w:val="18"/>
              </w:rPr>
              <w:t xml:space="preserve">0.33</w:t>
            </w:r>
          </w:p>
        </w:tc>
        <w:tc>
          <w:tcPr>
            <w:tcW w:type="dxa" w:w="900"/>
            <w:shd w:fill="FFFFFF" w:val="clear"/>
          </w:tcPr>
          <w:p>
            <w:pPr>
              <w:jc w:val="center"/>
            </w:pPr>
            <w:r>
              <w:rPr>
                <w:rFonts w:ascii="Calibri" w:cs="Calibri" w:eastAsia="Calibri" w:hAnsi="Calibri"/>
                <w:sz w:val="18"/>
                <w:szCs w:val="18"/>
              </w:rPr>
              <w:t xml:space="preserve">0.33</w:t>
            </w:r>
          </w:p>
        </w:tc>
        <w:tc>
          <w:tcPr>
            <w:tcW w:type="dxa" w:w="900"/>
            <w:shd w:fill="FFFFFF" w:val="clear"/>
          </w:tcPr>
          <w:p>
            <w:pPr>
              <w:jc w:val="center"/>
            </w:pPr>
            <w:r>
              <w:rPr>
                <w:rFonts w:ascii="Calibri" w:cs="Calibri" w:eastAsia="Calibri" w:hAnsi="Calibri"/>
                <w:sz w:val="18"/>
                <w:szCs w:val="18"/>
              </w:rPr>
              <w:t xml:space="preserve">0.33</w:t>
            </w:r>
          </w:p>
        </w:tc>
        <w:tc>
          <w:tcPr>
            <w:tcW w:type="dxa" w:w="2000"/>
            <w:shd w:fill="FFFFFF" w:val="clear"/>
          </w:tcPr>
          <w:p>
            <w:pPr>
              <w:jc w:val="center"/>
            </w:pPr>
            <w:r>
              <w:rPr>
                <w:rFonts w:ascii="Calibri" w:cs="Calibri" w:eastAsia="Calibri" w:hAnsi="Calibri"/>
                <w:sz w:val="18"/>
                <w:szCs w:val="18"/>
              </w:rPr>
              <w:t xml:space="preserve">Unsorted synthesis (1/3)</w:t>
            </w:r>
          </w:p>
        </w:tc>
      </w:tr>
    </w:tbl>
    <w:p>
      <w:pPr>
        <w:spacing w:after="60" w:before="60"/>
      </w:pPr>
    </w:p>
    <w:p>
      <w:pPr>
        <w:spacing w:after="40" w:before="40"/>
      </w:pPr>
      <w:r>
        <w:rPr>
          <w:rFonts w:ascii="Calibri" w:cs="Calibri" w:eastAsia="Calibri" w:hAnsi="Calibri"/>
          <w:color w:val="C55A11"/>
          <w:sz w:val="18"/>
          <w:szCs w:val="18"/>
        </w:rPr>
        <w:t xml:space="preserve">Note: For barrier layer, ITRS defines a TaN/Ta bi-layer. Effective Cu cross-section = (W - 2×t_barrier) × (H - t_barrier). At 7nm the barrier consumes ~29% of the width — include this in resistance calculations.</w:t>
      </w:r>
    </w:p>
    <w:p>
      <w:pPr>
        <w:spacing w:after="30" w:before="30"/>
      </w:pPr>
      <w:r>
        <w:rPr>
          <w:rFonts w:ascii="Calibri" w:cs="Calibri" w:eastAsia="Calibri" w:hAnsi="Calibri"/>
          <w:color w:val="595959"/>
          <w:sz w:val="18"/>
          <w:szCs w:val="18"/>
        </w:rPr>
        <w:t xml:space="preserve">Sources: ITRS 2009 Interconnect Chapter; ITRS 2.0 (2015); IEEE IRDS More Moore 2022 [irds.ieee.org]</w:t>
      </w:r>
    </w:p>
    <w:p>
      <w:pPr>
        <w:shd w:fill="1F3864" w:val="clear"/>
        <w:spacing w:after="120" w:before="200"/>
      </w:pPr>
      <w:r>
        <w:rPr>
          <w:rFonts w:ascii="Calibri" w:cs="Calibri" w:eastAsia="Calibri" w:hAnsi="Calibri"/>
          <w:b/>
          <w:bCs/>
          <w:color w:val="FFFFFF"/>
          <w:sz w:val="22"/>
          <w:szCs w:val="22"/>
        </w:rPr>
        <w:t xml:space="preserve">  SECTION 2 — COPPER INTERCONNECT MODEL (Latest Formulas)  </w:t>
      </w:r>
    </w:p>
    <w:p>
      <w:pPr>
        <w:spacing w:after="60" w:before="60"/>
      </w:pPr>
    </w:p>
    <w:p>
      <w:pPr>
        <w:pStyle w:val="Heading2"/>
        <w:spacing w:after="80" w:before="240"/>
        <w:rPr>
          <w:rFonts w:ascii="Calibri" w:cs="Calibri" w:eastAsia="Calibri" w:hAnsi="Calibri"/>
          <w:b/>
          <w:bCs/>
          <w:color w:val="2E75B6"/>
          <w:sz w:val="24"/>
          <w:szCs w:val="24"/>
        </w:rPr>
      </w:pPr>
      <w:r>
        <w:t xml:space="preserve">2.1  Resistance — FS + MS Combined Model</w:t>
      </w:r>
    </w:p>
    <w:p>
      <w:pPr>
        <w:spacing w:after="60" w:before="60"/>
      </w:pPr>
    </w:p>
    <w:p>
      <w:pPr>
        <w:spacing w:after="60" w:before="60"/>
      </w:pPr>
      <w:r>
        <w:rPr>
          <w:rFonts w:ascii="Calibri" w:cs="Calibri" w:eastAsia="Calibri" w:hAnsi="Calibri"/>
          <w:b w:val="false"/>
          <w:bCs w:val="false"/>
          <w:sz w:val="20"/>
          <w:szCs w:val="20"/>
        </w:rPr>
        <w:t xml:space="preserve">The most current and widely accepted resistivity model for scaled Cu interconnects combines Fuchs-Sondheimer (FS) for surface scattering and Mayadas-Shatzkes (MS) for grain boundary scattering. The latest form, validated experimentally below 14nm (AIP Advances 2019), uses the full integral FS expression rather than the approximate linear form used in older papers.</w:t>
      </w:r>
    </w:p>
    <w:p>
      <w:pPr>
        <w:spacing w:after="60" w:before="60"/>
      </w:pPr>
    </w:p>
    <w:p>
      <w:pPr>
        <w:pStyle w:val="Heading3"/>
        <w:spacing w:after="60" w:before="180"/>
        <w:rPr>
          <w:rFonts w:ascii="Calibri" w:cs="Calibri" w:eastAsia="Calibri" w:hAnsi="Calibri"/>
          <w:b/>
          <w:bCs/>
          <w:color w:val="1E4D2B"/>
          <w:sz w:val="22"/>
          <w:szCs w:val="22"/>
        </w:rPr>
      </w:pPr>
      <w:r>
        <w:t xml:space="preserve">Full FS Equation (surface scattering):</w:t>
      </w:r>
    </w:p>
    <w:p>
      <w:pPr>
        <w:shd w:fill="EBF3FB" w:val="clear"/>
        <w:spacing w:after="80" w:before="80"/>
        <w:ind w:left="720"/>
      </w:pPr>
      <w:r>
        <w:rPr>
          <w:rFonts w:ascii="Courier New" w:cs="Courier New" w:eastAsia="Courier New" w:hAnsi="Courier New"/>
          <w:b/>
          <w:bCs/>
          <w:color w:val="1F3864"/>
          <w:sz w:val="20"/>
          <w:szCs w:val="20"/>
        </w:rPr>
        <w:t xml:space="preserve">ρ_FS = ρ₀ × [1 - (3λ/2d)(1-p) ∫₁^∞ (1/t³ - 1/t⁵)(1 - e^(-kt))/(1 - p·e^(-kt)) dt]^(-1)</w:t>
      </w:r>
    </w:p>
    <w:p>
      <w:pPr>
        <w:spacing w:after="60" w:before="60"/>
      </w:pPr>
      <w:r>
        <w:rPr>
          <w:rFonts w:ascii="Calibri" w:cs="Calibri" w:eastAsia="Calibri" w:hAnsi="Calibri"/>
          <w:sz w:val="18"/>
          <w:szCs w:val="18"/>
        </w:rPr>
        <w:t xml:space="preserve">where:  k = d/λ,   d = min(W, H) = limiting dimension,   λ = 39 nm (Cu MFP at 21°C)</w:t>
      </w:r>
    </w:p>
    <w:p>
      <w:pPr>
        <w:spacing w:after="60" w:before="60"/>
      </w:pPr>
      <w:r>
        <w:rPr>
          <w:rFonts w:ascii="Calibri" w:cs="Calibri" w:eastAsia="Calibri" w:hAnsi="Calibri"/>
          <w:sz w:val="18"/>
          <w:szCs w:val="18"/>
        </w:rPr>
        <w:t xml:space="preserve">p = specularity parameter: 0.0 (fully diffuse) to 1.0 (specular)</w:t>
      </w:r>
    </w:p>
    <w:p>
      <w:pPr>
        <w:spacing w:after="60" w:before="60"/>
      </w:pPr>
      <w:r>
        <w:rPr>
          <w:rFonts w:ascii="Calibri" w:cs="Calibri" w:eastAsia="Calibri" w:hAnsi="Calibri"/>
          <w:color w:val="C55A11"/>
          <w:sz w:val="18"/>
          <w:szCs w:val="18"/>
        </w:rPr>
        <w:t xml:space="preserve">Recommended value: p = -0.2 for sub-14nm nodes (AIP Advances 2019 experimental fit)</w:t>
      </w:r>
    </w:p>
    <w:p>
      <w:pPr>
        <w:spacing w:after="60" w:before="60"/>
      </w:pPr>
    </w:p>
    <w:p>
      <w:pPr>
        <w:pStyle w:val="Heading3"/>
        <w:spacing w:after="60" w:before="180"/>
        <w:rPr>
          <w:rFonts w:ascii="Calibri" w:cs="Calibri" w:eastAsia="Calibri" w:hAnsi="Calibri"/>
          <w:b/>
          <w:bCs/>
          <w:color w:val="1E4D2B"/>
          <w:sz w:val="22"/>
          <w:szCs w:val="22"/>
        </w:rPr>
      </w:pPr>
      <w:r>
        <w:t xml:space="preserve">Simplified FS Approximation (acceptable for 45nm/22nm nodes):</w:t>
      </w:r>
    </w:p>
    <w:p>
      <w:pPr>
        <w:shd w:fill="EBF3FB" w:val="clear"/>
        <w:spacing w:after="80" w:before="80"/>
        <w:ind w:left="720"/>
      </w:pPr>
      <w:r>
        <w:rPr>
          <w:rFonts w:ascii="Courier New" w:cs="Courier New" w:eastAsia="Courier New" w:hAnsi="Courier New"/>
          <w:b/>
          <w:bCs/>
          <w:color w:val="1F3864"/>
          <w:sz w:val="20"/>
          <w:szCs w:val="20"/>
        </w:rPr>
        <w:t xml:space="preserve">ρ_FS/ρ₀ = 1 + (3λ/8d)(1 - p)       [valid when d &gt;&gt; λ, breaks down below ~30nm]</w:t>
      </w:r>
    </w:p>
    <w:p>
      <w:pPr>
        <w:spacing w:after="60" w:before="60"/>
      </w:pPr>
    </w:p>
    <w:p>
      <w:pPr>
        <w:pStyle w:val="Heading3"/>
        <w:spacing w:after="60" w:before="180"/>
        <w:rPr>
          <w:rFonts w:ascii="Calibri" w:cs="Calibri" w:eastAsia="Calibri" w:hAnsi="Calibri"/>
          <w:b/>
          <w:bCs/>
          <w:color w:val="1E4D2B"/>
          <w:sz w:val="22"/>
          <w:szCs w:val="22"/>
        </w:rPr>
      </w:pPr>
      <w:r>
        <w:t xml:space="preserve">MS Equation (grain boundary scattering):</w:t>
      </w:r>
    </w:p>
    <w:p>
      <w:pPr>
        <w:shd w:fill="EBF3FB" w:val="clear"/>
        <w:spacing w:after="80" w:before="80"/>
        <w:ind w:left="720"/>
      </w:pPr>
      <w:r>
        <w:rPr>
          <w:rFonts w:ascii="Courier New" w:cs="Courier New" w:eastAsia="Courier New" w:hAnsi="Courier New"/>
          <w:b/>
          <w:bCs/>
          <w:color w:val="1F3864"/>
          <w:sz w:val="20"/>
          <w:szCs w:val="20"/>
        </w:rPr>
        <w:t xml:space="preserve">ρ_MS = ρ₀ × [1 - (3α/2) + 3α² - 3α³·ln(1 + 1/α)]^(-1)</w:t>
      </w:r>
    </w:p>
    <w:p>
      <w:pPr>
        <w:shd w:fill="EBF3FB" w:val="clear"/>
        <w:spacing w:after="80" w:before="80"/>
        <w:ind w:left="720"/>
      </w:pPr>
      <w:r>
        <w:rPr>
          <w:rFonts w:ascii="Courier New" w:cs="Courier New" w:eastAsia="Courier New" w:hAnsi="Courier New"/>
          <w:b/>
          <w:bCs/>
          <w:color w:val="1F3864"/>
          <w:sz w:val="20"/>
          <w:szCs w:val="20"/>
        </w:rPr>
        <w:t xml:space="preserve">α = (λ/D) × R/(1 - R)</w:t>
      </w:r>
    </w:p>
    <w:p>
      <w:pPr>
        <w:spacing w:after="60" w:before="60"/>
      </w:pPr>
      <w:r>
        <w:rPr>
          <w:rFonts w:ascii="Calibri" w:cs="Calibri" w:eastAsia="Calibri" w:hAnsi="Calibri"/>
          <w:sz w:val="18"/>
          <w:szCs w:val="18"/>
        </w:rPr>
        <w:t xml:space="preserve">where:  D = grain size ≈ wire width W (standard assumption),   R = GB reflection coeff. = 0.16–0.17 (AIP Advances 2019)</w:t>
      </w:r>
    </w:p>
    <w:p>
      <w:pPr>
        <w:spacing w:after="60" w:before="60"/>
      </w:pPr>
    </w:p>
    <w:p>
      <w:pPr>
        <w:pStyle w:val="Heading3"/>
        <w:spacing w:after="60" w:before="180"/>
        <w:rPr>
          <w:rFonts w:ascii="Calibri" w:cs="Calibri" w:eastAsia="Calibri" w:hAnsi="Calibri"/>
          <w:b/>
          <w:bCs/>
          <w:color w:val="1E4D2B"/>
          <w:sz w:val="22"/>
          <w:szCs w:val="22"/>
        </w:rPr>
      </w:pPr>
      <w:r>
        <w:t xml:space="preserve">Combined Effective Resistivity:</w:t>
      </w:r>
    </w:p>
    <w:p>
      <w:pPr>
        <w:shd w:fill="EBF3FB" w:val="clear"/>
        <w:spacing w:after="80" w:before="80"/>
        <w:ind w:left="720"/>
      </w:pPr>
      <w:r>
        <w:rPr>
          <w:rFonts w:ascii="Courier New" w:cs="Courier New" w:eastAsia="Courier New" w:hAnsi="Courier New"/>
          <w:b/>
          <w:bCs/>
          <w:color w:val="1F3864"/>
          <w:sz w:val="20"/>
          <w:szCs w:val="20"/>
        </w:rPr>
        <w:t xml:space="preserve">ρ_eff = ρ_FS × (ρ_MS / ρ₀)       [multiplicative combination — standard in literature]</w:t>
      </w:r>
    </w:p>
    <w:p>
      <w:pPr>
        <w:shd w:fill="EBF3FB" w:val="clear"/>
        <w:spacing w:after="80" w:before="80"/>
        <w:ind w:left="720"/>
      </w:pPr>
      <w:r>
        <w:rPr>
          <w:rFonts w:ascii="Courier New" w:cs="Courier New" w:eastAsia="Courier New" w:hAnsi="Courier New"/>
          <w:b/>
          <w:bCs/>
          <w:color w:val="1F3864"/>
          <w:sz w:val="20"/>
          <w:szCs w:val="20"/>
        </w:rPr>
        <w:t xml:space="preserve">R_cu = ρ_eff / (W_eff × H_eff)   [Ω/m, per unit length]</w:t>
      </w:r>
    </w:p>
    <w:p>
      <w:pPr>
        <w:spacing w:after="60" w:before="60"/>
      </w:pPr>
    </w:p>
    <w:p>
      <w:pPr>
        <w:spacing w:after="60" w:before="60"/>
      </w:pPr>
      <w:r>
        <w:rPr>
          <w:rFonts w:ascii="Calibri" w:cs="Calibri" w:eastAsia="Calibri" w:hAnsi="Calibri"/>
          <w:sz w:val="18"/>
          <w:szCs w:val="18"/>
        </w:rPr>
        <w:t xml:space="preserve">W_eff = W - 2×t_barrier,   H_eff = H - t_barrier   (accounts for non-conducting barrier layer)</w:t>
      </w:r>
    </w:p>
    <w:p>
      <w:pPr>
        <w:spacing w:after="60" w:before="60"/>
      </w:pPr>
    </w:p>
    <w:p>
      <w:pPr>
        <w:spacing w:after="30" w:before="30"/>
      </w:pPr>
      <w:r>
        <w:rPr>
          <w:rFonts w:ascii="Calibri" w:cs="Calibri" w:eastAsia="Calibri" w:hAnsi="Calibri"/>
          <w:color w:val="595959"/>
          <w:sz w:val="18"/>
          <w:szCs w:val="18"/>
        </w:rPr>
        <w:t xml:space="preserve">Primary Reference [Cu-R1]: Smith, R.S., Ryan, E.T., Hu, C.-K. et al. 'An evaluation of Fuchs-Sondheimer and Mayadas-Shatzkes models below 14nm node wide lines.' AIP Advances, 9(2), 025015, 2019. DOI: 10.1063/1.5063896 [Corrected: earlier draft misattributed authors and DOI]</w:t>
      </w:r>
    </w:p>
    <w:p>
      <w:pPr>
        <w:spacing w:after="30" w:before="30"/>
      </w:pPr>
      <w:r>
        <w:rPr>
          <w:rFonts w:ascii="Calibri" w:cs="Calibri" w:eastAsia="Calibri" w:hAnsi="Calibri"/>
          <w:color w:val="595959"/>
          <w:sz w:val="18"/>
          <w:szCs w:val="18"/>
        </w:rPr>
        <w:t xml:space="preserve">Secondary Reference [Cu-R2]: Camacho, J.M. &amp; Oliva, A.I. 'Epitaxial metals for interconnects beyond Cu.' arXiv:2004.00971, 2020. [Provides FS integral + MS unified form]</w:t>
      </w:r>
    </w:p>
    <w:p>
      <w:pPr>
        <w:spacing w:after="30" w:before="30"/>
      </w:pPr>
      <w:r>
        <w:rPr>
          <w:rFonts w:ascii="Calibri" w:cs="Calibri" w:eastAsia="Calibri" w:hAnsi="Calibri"/>
          <w:color w:val="595959"/>
          <w:sz w:val="18"/>
          <w:szCs w:val="18"/>
        </w:rPr>
        <w:t xml:space="preserve">Parameter Reference [Cu-R3]: Saligram, R. et al. 'Resistivity Modeling of Scaled Cu and Ru Interconnects.' IEEE TCAS-I, 2022. [Georgia Tech — validated at 7nm node]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000"/>
      </w:tblGrid>
      <w:tr>
        <w:trPr>
          <w:tblHeader/>
        </w:trPr>
        <w:tc>
          <w:tcPr>
            <w:tcW w:type="dxa" w:w="1200"/>
            <w:shd w:fill="2E75B6" w:val="clear"/>
          </w:tcPr>
          <w:p>
            <w:pPr>
              <w:jc w:val="center"/>
            </w:pPr>
            <w:r>
              <w:rPr>
                <w:rFonts w:ascii="Calibri" w:cs="Calibri" w:eastAsia="Calibri" w:hAnsi="Calibri"/>
                <w:b/>
                <w:bCs/>
                <w:color w:val="FFFFFF"/>
                <w:sz w:val="18"/>
                <w:szCs w:val="18"/>
              </w:rPr>
              <w:t xml:space="preserve">Node</w:t>
            </w:r>
          </w:p>
        </w:tc>
        <w:tc>
          <w:tcPr>
            <w:tcW w:type="dxa" w:w="1800"/>
            <w:shd w:fill="2E75B6" w:val="clear"/>
          </w:tcPr>
          <w:p>
            <w:pPr>
              <w:jc w:val="center"/>
            </w:pPr>
            <w:r>
              <w:rPr>
                <w:rFonts w:ascii="Calibri" w:cs="Calibri" w:eastAsia="Calibri" w:hAnsi="Calibri"/>
                <w:b/>
                <w:bCs/>
                <w:color w:val="FFFFFF"/>
                <w:sz w:val="18"/>
                <w:szCs w:val="18"/>
              </w:rPr>
              <w:t xml:space="preserve">ρ_bulk (μΩ·cm)</w:t>
            </w:r>
          </w:p>
        </w:tc>
        <w:tc>
          <w:tcPr>
            <w:tcW w:type="dxa" w:w="2000"/>
            <w:shd w:fill="2E75B6" w:val="clear"/>
          </w:tcPr>
          <w:p>
            <w:pPr>
              <w:jc w:val="center"/>
            </w:pPr>
            <w:r>
              <w:rPr>
                <w:rFonts w:ascii="Calibri" w:cs="Calibri" w:eastAsia="Calibri" w:hAnsi="Calibri"/>
                <w:b/>
                <w:bCs/>
                <w:color w:val="FFFFFF"/>
                <w:sz w:val="18"/>
                <w:szCs w:val="18"/>
              </w:rPr>
              <w:t xml:space="preserve">ρ_FS correction</w:t>
            </w:r>
          </w:p>
        </w:tc>
        <w:tc>
          <w:tcPr>
            <w:tcW w:type="dxa" w:w="2000"/>
            <w:shd w:fill="2E75B6" w:val="clear"/>
          </w:tcPr>
          <w:p>
            <w:pPr>
              <w:jc w:val="center"/>
            </w:pPr>
            <w:r>
              <w:rPr>
                <w:rFonts w:ascii="Calibri" w:cs="Calibri" w:eastAsia="Calibri" w:hAnsi="Calibri"/>
                <w:b/>
                <w:bCs/>
                <w:color w:val="FFFFFF"/>
                <w:sz w:val="18"/>
                <w:szCs w:val="18"/>
              </w:rPr>
              <w:t xml:space="preserve">ρ_MS correction</w:t>
            </w:r>
          </w:p>
        </w:tc>
        <w:tc>
          <w:tcPr>
            <w:tcW w:type="dxa" w:w="2000"/>
            <w:shd w:fill="2E75B6" w:val="clear"/>
          </w:tcPr>
          <w:p>
            <w:pPr>
              <w:jc w:val="center"/>
            </w:pPr>
            <w:r>
              <w:rPr>
                <w:rFonts w:ascii="Calibri" w:cs="Calibri" w:eastAsia="Calibri" w:hAnsi="Calibri"/>
                <w:b/>
                <w:bCs/>
                <w:color w:val="FFFFFF"/>
                <w:sz w:val="18"/>
                <w:szCs w:val="18"/>
              </w:rPr>
              <w:t xml:space="preserve">ρ_eff (μΩ·cm) approx</w:t>
            </w:r>
          </w:p>
        </w:tc>
      </w:tr>
      <w:tr>
        <w:tc>
          <w:tcPr>
            <w:tcW w:type="dxa" w:w="1200"/>
            <w:shd w:fill="D6E4F0" w:val="clear"/>
          </w:tcPr>
          <w:p>
            <w:pPr>
              <w:jc w:val="center"/>
            </w:pPr>
            <w:r>
              <w:rPr>
                <w:rFonts w:ascii="Calibri" w:cs="Calibri" w:eastAsia="Calibri" w:hAnsi="Calibri"/>
                <w:sz w:val="18"/>
                <w:szCs w:val="18"/>
              </w:rPr>
              <w:t xml:space="preserve">45nm</w:t>
            </w:r>
          </w:p>
        </w:tc>
        <w:tc>
          <w:tcPr>
            <w:tcW w:type="dxa" w:w="1800"/>
            <w:shd w:fill="D6E4F0" w:val="clear"/>
          </w:tcPr>
          <w:p>
            <w:pPr>
              <w:jc w:val="center"/>
            </w:pPr>
            <w:r>
              <w:rPr>
                <w:rFonts w:ascii="Calibri" w:cs="Calibri" w:eastAsia="Calibri" w:hAnsi="Calibri"/>
                <w:sz w:val="18"/>
                <w:szCs w:val="18"/>
              </w:rPr>
              <w:t xml:space="preserve">1.68</w:t>
            </w:r>
          </w:p>
        </w:tc>
        <w:tc>
          <w:tcPr>
            <w:tcW w:type="dxa" w:w="2000"/>
            <w:shd w:fill="D6E4F0" w:val="clear"/>
          </w:tcPr>
          <w:p>
            <w:pPr>
              <w:jc w:val="center"/>
            </w:pPr>
            <w:r>
              <w:rPr>
                <w:rFonts w:ascii="Calibri" w:cs="Calibri" w:eastAsia="Calibri" w:hAnsi="Calibri"/>
                <w:sz w:val="18"/>
                <w:szCs w:val="18"/>
              </w:rPr>
              <w:t xml:space="preserve">~1.4×</w:t>
            </w:r>
          </w:p>
        </w:tc>
        <w:tc>
          <w:tcPr>
            <w:tcW w:type="dxa" w:w="2000"/>
            <w:shd w:fill="D6E4F0" w:val="clear"/>
          </w:tcPr>
          <w:p>
            <w:pPr>
              <w:jc w:val="center"/>
            </w:pPr>
            <w:r>
              <w:rPr>
                <w:rFonts w:ascii="Calibri" w:cs="Calibri" w:eastAsia="Calibri" w:hAnsi="Calibri"/>
                <w:sz w:val="18"/>
                <w:szCs w:val="18"/>
              </w:rPr>
              <w:t xml:space="preserve">~1.3×</w:t>
            </w:r>
          </w:p>
        </w:tc>
        <w:tc>
          <w:tcPr>
            <w:tcW w:type="dxa" w:w="2000"/>
            <w:shd w:fill="D6E4F0" w:val="clear"/>
          </w:tcPr>
          <w:p>
            <w:pPr>
              <w:jc w:val="center"/>
            </w:pPr>
            <w:r>
              <w:rPr>
                <w:rFonts w:ascii="Calibri" w:cs="Calibri" w:eastAsia="Calibri" w:hAnsi="Calibri"/>
                <w:sz w:val="18"/>
                <w:szCs w:val="18"/>
              </w:rPr>
              <w:t xml:space="preserve">~3.1</w:t>
            </w:r>
          </w:p>
        </w:tc>
      </w:tr>
      <w:tr>
        <w:tc>
          <w:tcPr>
            <w:tcW w:type="dxa" w:w="1200"/>
            <w:shd w:fill="FFFFFF" w:val="clear"/>
          </w:tcPr>
          <w:p>
            <w:pPr>
              <w:jc w:val="center"/>
            </w:pPr>
            <w:r>
              <w:rPr>
                <w:rFonts w:ascii="Calibri" w:cs="Calibri" w:eastAsia="Calibri" w:hAnsi="Calibri"/>
                <w:sz w:val="18"/>
                <w:szCs w:val="18"/>
              </w:rPr>
              <w:t xml:space="preserve">22nm</w:t>
            </w:r>
          </w:p>
        </w:tc>
        <w:tc>
          <w:tcPr>
            <w:tcW w:type="dxa" w:w="1800"/>
            <w:shd w:fill="FFFFFF" w:val="clear"/>
          </w:tcPr>
          <w:p>
            <w:pPr>
              <w:jc w:val="center"/>
            </w:pPr>
            <w:r>
              <w:rPr>
                <w:rFonts w:ascii="Calibri" w:cs="Calibri" w:eastAsia="Calibri" w:hAnsi="Calibri"/>
                <w:sz w:val="18"/>
                <w:szCs w:val="18"/>
              </w:rPr>
              <w:t xml:space="preserve">1.68</w:t>
            </w:r>
          </w:p>
        </w:tc>
        <w:tc>
          <w:tcPr>
            <w:tcW w:type="dxa" w:w="2000"/>
            <w:shd w:fill="FFFFFF" w:val="clear"/>
          </w:tcPr>
          <w:p>
            <w:pPr>
              <w:jc w:val="center"/>
            </w:pPr>
            <w:r>
              <w:rPr>
                <w:rFonts w:ascii="Calibri" w:cs="Calibri" w:eastAsia="Calibri" w:hAnsi="Calibri"/>
                <w:sz w:val="18"/>
                <w:szCs w:val="18"/>
              </w:rPr>
              <w:t xml:space="preserve">~2.1×</w:t>
            </w:r>
          </w:p>
        </w:tc>
        <w:tc>
          <w:tcPr>
            <w:tcW w:type="dxa" w:w="2000"/>
            <w:shd w:fill="FFFFFF" w:val="clear"/>
          </w:tcPr>
          <w:p>
            <w:pPr>
              <w:jc w:val="center"/>
            </w:pPr>
            <w:r>
              <w:rPr>
                <w:rFonts w:ascii="Calibri" w:cs="Calibri" w:eastAsia="Calibri" w:hAnsi="Calibri"/>
                <w:sz w:val="18"/>
                <w:szCs w:val="18"/>
              </w:rPr>
              <w:t xml:space="preserve">~1.8×</w:t>
            </w:r>
          </w:p>
        </w:tc>
        <w:tc>
          <w:tcPr>
            <w:tcW w:type="dxa" w:w="2000"/>
            <w:shd w:fill="FFFFFF" w:val="clear"/>
          </w:tcPr>
          <w:p>
            <w:pPr>
              <w:jc w:val="center"/>
            </w:pPr>
            <w:r>
              <w:rPr>
                <w:rFonts w:ascii="Calibri" w:cs="Calibri" w:eastAsia="Calibri" w:hAnsi="Calibri"/>
                <w:sz w:val="18"/>
                <w:szCs w:val="18"/>
              </w:rPr>
              <w:t xml:space="preserve">~6.3</w:t>
            </w:r>
          </w:p>
        </w:tc>
      </w:tr>
      <w:tr>
        <w:tc>
          <w:tcPr>
            <w:tcW w:type="dxa" w:w="1200"/>
            <w:shd w:fill="D6E4F0" w:val="clear"/>
          </w:tcPr>
          <w:p>
            <w:pPr>
              <w:jc w:val="center"/>
            </w:pPr>
            <w:r>
              <w:rPr>
                <w:rFonts w:ascii="Calibri" w:cs="Calibri" w:eastAsia="Calibri" w:hAnsi="Calibri"/>
                <w:sz w:val="18"/>
                <w:szCs w:val="18"/>
              </w:rPr>
              <w:t xml:space="preserve">14nm</w:t>
            </w:r>
          </w:p>
        </w:tc>
        <w:tc>
          <w:tcPr>
            <w:tcW w:type="dxa" w:w="1800"/>
            <w:shd w:fill="D6E4F0" w:val="clear"/>
          </w:tcPr>
          <w:p>
            <w:pPr>
              <w:jc w:val="center"/>
            </w:pPr>
            <w:r>
              <w:rPr>
                <w:rFonts w:ascii="Calibri" w:cs="Calibri" w:eastAsia="Calibri" w:hAnsi="Calibri"/>
                <w:sz w:val="18"/>
                <w:szCs w:val="18"/>
              </w:rPr>
              <w:t xml:space="preserve">1.68</w:t>
            </w:r>
          </w:p>
        </w:tc>
        <w:tc>
          <w:tcPr>
            <w:tcW w:type="dxa" w:w="2000"/>
            <w:shd w:fill="D6E4F0" w:val="clear"/>
          </w:tcPr>
          <w:p>
            <w:pPr>
              <w:jc w:val="center"/>
            </w:pPr>
            <w:r>
              <w:rPr>
                <w:rFonts w:ascii="Calibri" w:cs="Calibri" w:eastAsia="Calibri" w:hAnsi="Calibri"/>
                <w:sz w:val="18"/>
                <w:szCs w:val="18"/>
              </w:rPr>
              <w:t xml:space="preserve">~3.2×</w:t>
            </w:r>
          </w:p>
        </w:tc>
        <w:tc>
          <w:tcPr>
            <w:tcW w:type="dxa" w:w="2000"/>
            <w:shd w:fill="D6E4F0" w:val="clear"/>
          </w:tcPr>
          <w:p>
            <w:pPr>
              <w:jc w:val="center"/>
            </w:pPr>
            <w:r>
              <w:rPr>
                <w:rFonts w:ascii="Calibri" w:cs="Calibri" w:eastAsia="Calibri" w:hAnsi="Calibri"/>
                <w:sz w:val="18"/>
                <w:szCs w:val="18"/>
              </w:rPr>
              <w:t xml:space="preserve">~2.4×</w:t>
            </w:r>
          </w:p>
        </w:tc>
        <w:tc>
          <w:tcPr>
            <w:tcW w:type="dxa" w:w="2000"/>
            <w:shd w:fill="D6E4F0" w:val="clear"/>
          </w:tcPr>
          <w:p>
            <w:pPr>
              <w:jc w:val="center"/>
            </w:pPr>
            <w:r>
              <w:rPr>
                <w:rFonts w:ascii="Calibri" w:cs="Calibri" w:eastAsia="Calibri" w:hAnsi="Calibri"/>
                <w:sz w:val="18"/>
                <w:szCs w:val="18"/>
              </w:rPr>
              <w:t xml:space="preserve">~12.9</w:t>
            </w:r>
          </w:p>
        </w:tc>
      </w:tr>
      <w:tr>
        <w:tc>
          <w:tcPr>
            <w:tcW w:type="dxa" w:w="1200"/>
            <w:shd w:fill="FFFFFF" w:val="clear"/>
          </w:tcPr>
          <w:p>
            <w:pPr>
              <w:jc w:val="center"/>
            </w:pPr>
            <w:r>
              <w:rPr>
                <w:rFonts w:ascii="Calibri" w:cs="Calibri" w:eastAsia="Calibri" w:hAnsi="Calibri"/>
                <w:sz w:val="18"/>
                <w:szCs w:val="18"/>
              </w:rPr>
              <w:t xml:space="preserve">7nm</w:t>
            </w:r>
          </w:p>
        </w:tc>
        <w:tc>
          <w:tcPr>
            <w:tcW w:type="dxa" w:w="1800"/>
            <w:shd w:fill="FFFFFF" w:val="clear"/>
          </w:tcPr>
          <w:p>
            <w:pPr>
              <w:jc w:val="center"/>
            </w:pPr>
            <w:r>
              <w:rPr>
                <w:rFonts w:ascii="Calibri" w:cs="Calibri" w:eastAsia="Calibri" w:hAnsi="Calibri"/>
                <w:sz w:val="18"/>
                <w:szCs w:val="18"/>
              </w:rPr>
              <w:t xml:space="preserve">1.68</w:t>
            </w:r>
          </w:p>
        </w:tc>
        <w:tc>
          <w:tcPr>
            <w:tcW w:type="dxa" w:w="2000"/>
            <w:shd w:fill="FFFFFF" w:val="clear"/>
          </w:tcPr>
          <w:p>
            <w:pPr>
              <w:jc w:val="center"/>
            </w:pPr>
            <w:r>
              <w:rPr>
                <w:rFonts w:ascii="Calibri" w:cs="Calibri" w:eastAsia="Calibri" w:hAnsi="Calibri"/>
                <w:sz w:val="18"/>
                <w:szCs w:val="18"/>
              </w:rPr>
              <w:t xml:space="preserve">~5.8×</w:t>
            </w:r>
          </w:p>
        </w:tc>
        <w:tc>
          <w:tcPr>
            <w:tcW w:type="dxa" w:w="2000"/>
            <w:shd w:fill="FFFFFF" w:val="clear"/>
          </w:tcPr>
          <w:p>
            <w:pPr>
              <w:jc w:val="center"/>
            </w:pPr>
            <w:r>
              <w:rPr>
                <w:rFonts w:ascii="Calibri" w:cs="Calibri" w:eastAsia="Calibri" w:hAnsi="Calibri"/>
                <w:sz w:val="18"/>
                <w:szCs w:val="18"/>
              </w:rPr>
              <w:t xml:space="preserve">~3.9×</w:t>
            </w:r>
          </w:p>
        </w:tc>
        <w:tc>
          <w:tcPr>
            <w:tcW w:type="dxa" w:w="2000"/>
            <w:shd w:fill="FFFFFF" w:val="clear"/>
          </w:tcPr>
          <w:p>
            <w:pPr>
              <w:jc w:val="center"/>
            </w:pPr>
            <w:r>
              <w:rPr>
                <w:rFonts w:ascii="Calibri" w:cs="Calibri" w:eastAsia="Calibri" w:hAnsi="Calibri"/>
                <w:sz w:val="18"/>
                <w:szCs w:val="18"/>
              </w:rPr>
              <w:t xml:space="preserve">~38.0</w:t>
            </w:r>
          </w:p>
        </w:tc>
      </w:tr>
    </w:tbl>
    <w:p>
      <w:pPr>
        <w:spacing w:after="40" w:before="40"/>
      </w:pPr>
      <w:r>
        <w:rPr>
          <w:rFonts w:ascii="Calibri" w:cs="Calibri" w:eastAsia="Calibri" w:hAnsi="Calibri"/>
          <w:color w:val="C55A11"/>
          <w:sz w:val="18"/>
          <w:szCs w:val="18"/>
        </w:rPr>
        <w:t xml:space="preserve">Note: The ~38 μΩ·cm at 7nm is over 22× the bulk value of 1.68 μΩ·cm — this is the key motivation for CNT replacement. Use these approximate multiplied values for a quick sanity check of your simulation output.</w:t>
      </w:r>
    </w:p>
    <w:p>
      <w:pPr>
        <w:spacing w:after="60" w:before="60"/>
      </w:pPr>
    </w:p>
    <w:p>
      <w:pPr>
        <w:pStyle w:val="Heading2"/>
        <w:spacing w:after="80" w:before="240"/>
        <w:rPr>
          <w:rFonts w:ascii="Calibri" w:cs="Calibri" w:eastAsia="Calibri" w:hAnsi="Calibri"/>
          <w:b/>
          <w:bCs/>
          <w:color w:val="2E75B6"/>
          <w:sz w:val="24"/>
          <w:szCs w:val="24"/>
        </w:rPr>
      </w:pPr>
      <w:r>
        <w:t xml:space="preserve">2.2  Capacitance — Sakurai-Tamaru Empirical Model</w:t>
      </w:r>
    </w:p>
    <w:p>
      <w:pPr>
        <w:spacing w:after="60" w:before="60"/>
      </w:pPr>
    </w:p>
    <w:p>
      <w:pPr>
        <w:spacing w:after="60" w:before="60"/>
      </w:pPr>
      <w:r>
        <w:rPr>
          <w:rFonts w:ascii="Calibri" w:cs="Calibri" w:eastAsia="Calibri" w:hAnsi="Calibri"/>
          <w:b w:val="false"/>
          <w:bCs w:val="false"/>
          <w:sz w:val="20"/>
          <w:szCs w:val="20"/>
        </w:rPr>
        <w:t xml:space="preserve">The Sakurai-Tamaru (1983) formula, updated with ITRS fringe-fitting coefficients, is the standard for Cu interconnect capacitance in VLSI papers. It captures both parallel-plate and fringe field contributions in a single closed-form expression.</w:t>
      </w:r>
    </w:p>
    <w:p>
      <w:pPr>
        <w:spacing w:after="60" w:before="60"/>
      </w:pPr>
    </w:p>
    <w:p>
      <w:pPr>
        <w:pStyle w:val="Heading3"/>
        <w:spacing w:after="60" w:before="180"/>
        <w:rPr>
          <w:rFonts w:ascii="Calibri" w:cs="Calibri" w:eastAsia="Calibri" w:hAnsi="Calibri"/>
          <w:b/>
          <w:bCs/>
          <w:color w:val="1E4D2B"/>
          <w:sz w:val="22"/>
          <w:szCs w:val="22"/>
        </w:rPr>
      </w:pPr>
      <w:r>
        <w:t xml:space="preserve">Total Capacitance Per Unit Length:</w:t>
      </w:r>
    </w:p>
    <w:p>
      <w:pPr>
        <w:shd w:fill="EBF3FB" w:val="clear"/>
        <w:spacing w:after="80" w:before="80"/>
        <w:ind w:left="720"/>
      </w:pPr>
      <w:r>
        <w:rPr>
          <w:rFonts w:ascii="Courier New" w:cs="Courier New" w:eastAsia="Courier New" w:hAnsi="Courier New"/>
          <w:b/>
          <w:bCs/>
          <w:color w:val="1F3864"/>
          <w:sz w:val="20"/>
          <w:szCs w:val="20"/>
        </w:rPr>
        <w:t xml:space="preserve">C = ε₀·εᵣ × [W/H + 2.04·(S/(S+0.54·H))^1.77 + 1.14·(W/H)^0.06·(S/(S+1.51·H))^4.53]</w:t>
      </w:r>
    </w:p>
    <w:p>
      <w:pPr>
        <w:spacing w:after="60" w:before="60"/>
      </w:pPr>
      <w:r>
        <w:rPr>
          <w:rFonts w:ascii="Calibri" w:cs="Calibri" w:eastAsia="Calibri" w:hAnsi="Calibri"/>
          <w:sz w:val="18"/>
          <w:szCs w:val="18"/>
        </w:rPr>
        <w:t xml:space="preserve">where:  ε₀ = 8.854×10⁻¹² F/m,   εᵣ = dielectric constant from table above,   S = wire spacing,   H = ILD height</w:t>
      </w:r>
    </w:p>
    <w:p>
      <w:pPr>
        <w:spacing w:after="60" w:before="60"/>
      </w:pPr>
    </w:p>
    <w:p>
      <w:pPr>
        <w:spacing w:after="40" w:before="40"/>
      </w:pPr>
      <w:r>
        <w:rPr>
          <w:rFonts w:ascii="Calibri" w:cs="Calibri" w:eastAsia="Calibri" w:hAnsi="Calibri"/>
          <w:color w:val="C55A11"/>
          <w:sz w:val="18"/>
          <w:szCs w:val="18"/>
        </w:rPr>
        <w:t xml:space="preserve">CAUTION — unverified attribution: the original Sakurai-Tamaru (1983) formula for a single wire over a ground plane is C/ε = 1.15(W/H) + 2.80(T/H)^0.222 — a two-term expression with no spacing (S) dependence. The three-term formula above, with its specific exponents (1.77/0.06/4.53), does not match the 1983 paper. It is most likely the ITRS-fitted variant from Li et al. 2006 (APMC) referenced below — confirm the exact coefficients against that paper before citing this as "Sakurai-Tamaru 1983" in your report.</w:t>
      </w:r>
    </w:p>
    <w:p>
      <w:pPr>
        <w:spacing w:after="30" w:before="30"/>
      </w:pPr>
      <w:r>
        <w:rPr>
          <w:rFonts w:ascii="Calibri" w:cs="Calibri" w:eastAsia="Calibri" w:hAnsi="Calibri"/>
          <w:color w:val="595959"/>
          <w:sz w:val="18"/>
          <w:szCs w:val="18"/>
        </w:rPr>
        <w:t xml:space="preserve">Reference [Cu-C]: Sakurai, T. &amp; Tamaru, K. 'Simple formulas for two- and three-dimensional capacitances.' IEEE Trans. Electron Devices, 30(2), 183-185, 1983.</w:t>
      </w:r>
    </w:p>
    <w:p>
      <w:pPr>
        <w:spacing w:after="30" w:before="30"/>
      </w:pPr>
      <w:r>
        <w:rPr>
          <w:rFonts w:ascii="Calibri" w:cs="Calibri" w:eastAsia="Calibri" w:hAnsi="Calibri"/>
          <w:color w:val="595959"/>
          <w:sz w:val="18"/>
          <w:szCs w:val="18"/>
        </w:rPr>
        <w:t xml:space="preserve">Updated coefficients: Li, H. et al. 'Modeling of Carbon Nanotube Interconnects and Comparative Analysis with Cu Interconnects.' APMC 2006 — uses this same Sakurai model with ITRS-fitted coefficients for 45nm node.</w:t>
      </w:r>
    </w:p>
    <w:p>
      <w:pPr>
        <w:spacing w:after="60" w:before="60"/>
      </w:pPr>
    </w:p>
    <w:p>
      <w:pPr>
        <w:pStyle w:val="Heading2"/>
        <w:spacing w:after="80" w:before="240"/>
        <w:rPr>
          <w:rFonts w:ascii="Calibri" w:cs="Calibri" w:eastAsia="Calibri" w:hAnsi="Calibri"/>
          <w:b/>
          <w:bCs/>
          <w:color w:val="2E75B6"/>
          <w:sz w:val="24"/>
          <w:szCs w:val="24"/>
        </w:rPr>
      </w:pPr>
      <w:r>
        <w:t xml:space="preserve">2.3  Inductance — Rectangular Wire Over Ground Plane</w:t>
      </w:r>
    </w:p>
    <w:p>
      <w:pPr>
        <w:spacing w:after="60" w:before="60"/>
      </w:pPr>
    </w:p>
    <w:p>
      <w:pPr>
        <w:spacing w:after="60" w:before="60"/>
      </w:pPr>
      <w:r>
        <w:rPr>
          <w:rFonts w:ascii="Calibri" w:cs="Calibri" w:eastAsia="Calibri" w:hAnsi="Calibri"/>
          <w:b w:val="false"/>
          <w:bCs w:val="false"/>
          <w:sz w:val="20"/>
          <w:szCs w:val="20"/>
        </w:rPr>
        <w:t xml:space="preserve">For Cu self-inductance, the Neumann formula for a rectangular cross-section wire is used:</w:t>
      </w:r>
    </w:p>
    <w:p>
      <w:pPr>
        <w:spacing w:after="60" w:before="60"/>
      </w:pPr>
    </w:p>
    <w:p>
      <w:pPr>
        <w:shd w:fill="EBF3FB" w:val="clear"/>
        <w:spacing w:after="80" w:before="80"/>
        <w:ind w:left="720"/>
      </w:pPr>
      <w:r>
        <w:rPr>
          <w:rFonts w:ascii="Courier New" w:cs="Courier New" w:eastAsia="Courier New" w:hAnsi="Courier New"/>
          <w:b/>
          <w:bCs/>
          <w:color w:val="1F3864"/>
          <w:sz w:val="20"/>
          <w:szCs w:val="20"/>
        </w:rPr>
        <w:t xml:space="preserve">L_self = (μ₀/2π) × [ln(2l/(W+H)) + 0.5 + 0.2235·(W+H)/l]   [H, total]</w:t>
      </w:r>
    </w:p>
    <w:p>
      <w:pPr>
        <w:shd w:fill="EBF3FB" w:val="clear"/>
        <w:spacing w:after="80" w:before="80"/>
        <w:ind w:left="720"/>
      </w:pPr>
      <w:r>
        <w:rPr>
          <w:rFonts w:ascii="Courier New" w:cs="Courier New" w:eastAsia="Courier New" w:hAnsi="Courier New"/>
          <w:b/>
          <w:bCs/>
          <w:color w:val="1F3864"/>
          <w:sz w:val="20"/>
          <w:szCs w:val="20"/>
        </w:rPr>
        <w:t xml:space="preserve">L_per_unit = L_self / l   [H/m]</w:t>
      </w:r>
    </w:p>
    <w:p>
      <w:pPr>
        <w:spacing w:after="60" w:before="60"/>
      </w:pPr>
      <w:r>
        <w:rPr>
          <w:rFonts w:ascii="Calibri" w:cs="Calibri" w:eastAsia="Calibri" w:hAnsi="Calibri"/>
          <w:sz w:val="18"/>
          <w:szCs w:val="18"/>
        </w:rPr>
        <w:t xml:space="preserve">where:  μ₀ = 4π×10⁻⁷ H/m,   l = wire length,   W = wire width,   H = wire height</w:t>
      </w:r>
    </w:p>
    <w:p>
      <w:pPr>
        <w:spacing w:after="60" w:before="60"/>
      </w:pPr>
    </w:p>
    <w:p>
      <w:pPr>
        <w:spacing w:after="60" w:before="60"/>
      </w:pPr>
      <w:r>
        <w:rPr>
          <w:rFonts w:ascii="Calibri" w:cs="Calibri" w:eastAsia="Calibri" w:hAnsi="Calibri"/>
          <w:b w:val="false"/>
          <w:bCs w:val="false"/>
          <w:sz w:val="20"/>
          <w:szCs w:val="20"/>
        </w:rPr>
        <w:t xml:space="preserve">For mutual inductance between adjacent parallel wires (needed for crosstalk):</w:t>
      </w:r>
    </w:p>
    <w:p>
      <w:pPr>
        <w:shd w:fill="EBF3FB" w:val="clear"/>
        <w:spacing w:after="80" w:before="80"/>
        <w:ind w:left="720"/>
      </w:pPr>
      <w:r>
        <w:rPr>
          <w:rFonts w:ascii="Courier New" w:cs="Courier New" w:eastAsia="Courier New" w:hAnsi="Courier New"/>
          <w:b/>
          <w:bCs/>
          <w:color w:val="1F3864"/>
          <w:sz w:val="20"/>
          <w:szCs w:val="20"/>
        </w:rPr>
        <w:t xml:space="preserve">M = (μ₀·l/2π) × [ln(2l/d) - 1 + d/l]</w:t>
      </w:r>
    </w:p>
    <w:p>
      <w:pPr>
        <w:spacing w:after="60" w:before="60"/>
      </w:pPr>
      <w:r>
        <w:rPr>
          <w:rFonts w:ascii="Calibri" w:cs="Calibri" w:eastAsia="Calibri" w:hAnsi="Calibri"/>
          <w:sz w:val="18"/>
          <w:szCs w:val="18"/>
        </w:rPr>
        <w:t xml:space="preserve">where:  d = center-to-center distance between wires = W + S</w:t>
      </w:r>
    </w:p>
    <w:p>
      <w:pPr>
        <w:spacing w:after="60" w:before="60"/>
      </w:pPr>
    </w:p>
    <w:p>
      <w:pPr>
        <w:spacing w:after="30" w:before="30"/>
      </w:pPr>
      <w:r>
        <w:rPr>
          <w:rFonts w:ascii="Calibri" w:cs="Calibri" w:eastAsia="Calibri" w:hAnsi="Calibri"/>
          <w:color w:val="595959"/>
          <w:sz w:val="18"/>
          <w:szCs w:val="18"/>
        </w:rPr>
        <w:t xml:space="preserve">Reference [Cu-L]: Parihar, T. &amp; Sharma, A. 'A comparative study of Mixed CNT bundle with Copper for VLSI Interconnect at 32nm.' IJETT, Vol.4(4), 2013. [Equations 6 &amp; 7 — standard Neumann form]</w:t>
      </w:r>
    </w:p>
    <w:p>
      <w:pPr>
        <w:spacing w:after="60" w:before="60"/>
      </w:pPr>
    </w:p>
    <w:p>
      <w:pPr>
        <w:shd w:fill="1F3864" w:val="clear"/>
        <w:spacing w:after="120" w:before="200"/>
      </w:pPr>
      <w:r>
        <w:rPr>
          <w:rFonts w:ascii="Calibri" w:cs="Calibri" w:eastAsia="Calibri" w:hAnsi="Calibri"/>
          <w:b/>
          <w:bCs/>
          <w:color w:val="FFFFFF"/>
          <w:sz w:val="22"/>
          <w:szCs w:val="22"/>
        </w:rPr>
        <w:t xml:space="preserve">  SECTION 3 — SWCNT BUNDLE INTERCONNECT MODEL (Latest Formulas)  </w:t>
      </w:r>
    </w:p>
    <w:p>
      <w:pPr>
        <w:spacing w:after="60" w:before="60"/>
      </w:pPr>
    </w:p>
    <w:p>
      <w:pPr>
        <w:spacing w:after="60" w:before="60"/>
      </w:pPr>
      <w:r>
        <w:rPr>
          <w:rFonts w:ascii="Calibri" w:cs="Calibri" w:eastAsia="Calibri" w:hAnsi="Calibri"/>
          <w:b w:val="false"/>
          <w:bCs w:val="false"/>
          <w:sz w:val="20"/>
          <w:szCs w:val="20"/>
        </w:rPr>
        <w:t xml:space="preserve">The CNT bundle model below is based on the latest physics-based formulation from MDPI Crystals 2022, which supersedes the earlier Naeemi &amp; Meindl 2007 form by including temperature-dependent phonon scattering and improved contact resistance modeling. This version is directly citable in a 2024–2026 report. Note: this entire section applies to single-walled CNT (SWCNT) bundles only — the 4-conducting-channel convention, v_F, and phonon MFPs used throughout are SWCNT-specific. A multi-walled CNT (MWCNT) bundle would require a separate shell-resistance model and is not covered here.</w:t>
      </w:r>
    </w:p>
    <w:p>
      <w:pPr>
        <w:spacing w:after="60" w:before="60"/>
      </w:pPr>
    </w:p>
    <w:p>
      <w:pPr>
        <w:pStyle w:val="Heading2"/>
        <w:spacing w:after="80" w:before="240"/>
        <w:rPr>
          <w:rFonts w:ascii="Calibri" w:cs="Calibri" w:eastAsia="Calibri" w:hAnsi="Calibri"/>
          <w:b/>
          <w:bCs/>
          <w:color w:val="2E75B6"/>
          <w:sz w:val="24"/>
          <w:szCs w:val="24"/>
        </w:rPr>
      </w:pPr>
      <w:r>
        <w:t xml:space="preserve">3.1  Bundle Geometry</w:t>
      </w:r>
    </w:p>
    <w:p>
      <w:pPr>
        <w:spacing w:after="60" w:before="60"/>
      </w:pPr>
    </w:p>
    <w:p>
      <w:pPr>
        <w:pStyle w:val="Heading3"/>
        <w:spacing w:after="60" w:before="180"/>
        <w:rPr>
          <w:rFonts w:ascii="Calibri" w:cs="Calibri" w:eastAsia="Calibri" w:hAnsi="Calibri"/>
          <w:b/>
          <w:bCs/>
          <w:color w:val="1E4D2B"/>
          <w:sz w:val="22"/>
          <w:szCs w:val="22"/>
        </w:rPr>
      </w:pPr>
      <w:r>
        <w:t xml:space="preserve">Total CNTs in Bundle (hexagonal packing):</w:t>
      </w:r>
    </w:p>
    <w:p>
      <w:pPr>
        <w:shd w:fill="EBF3FB" w:val="clear"/>
        <w:spacing w:after="80" w:before="80"/>
        <w:ind w:left="720"/>
      </w:pPr>
      <w:r>
        <w:rPr>
          <w:rFonts w:ascii="Courier New" w:cs="Courier New" w:eastAsia="Courier New" w:hAnsi="Courier New"/>
          <w:b/>
          <w:bCs/>
          <w:color w:val="1F3864"/>
          <w:sz w:val="20"/>
          <w:szCs w:val="20"/>
        </w:rPr>
        <w:t xml:space="preserve">N_total = int(W/(d+δ)) × int(H/(d+δ))</w:t>
      </w:r>
    </w:p>
    <w:p>
      <w:pPr>
        <w:spacing w:after="60" w:before="60"/>
      </w:pPr>
      <w:r>
        <w:rPr>
          <w:rFonts w:ascii="Calibri" w:cs="Calibri" w:eastAsia="Calibri" w:hAnsi="Calibri"/>
          <w:sz w:val="18"/>
          <w:szCs w:val="18"/>
        </w:rPr>
        <w:t xml:space="preserve">where:  d = CNT diameter,   δ = 0.34 nm (van der Waals inter-tube spacing),   W×H = bundle cross-section</w:t>
      </w:r>
    </w:p>
    <w:p>
      <w:pPr>
        <w:spacing w:after="60" w:before="60"/>
      </w:pPr>
    </w:p>
    <w:p>
      <w:pPr>
        <w:pStyle w:val="Heading3"/>
        <w:spacing w:after="60" w:before="180"/>
        <w:rPr>
          <w:rFonts w:ascii="Calibri" w:cs="Calibri" w:eastAsia="Calibri" w:hAnsi="Calibri"/>
          <w:b/>
          <w:bCs/>
          <w:color w:val="1E4D2B"/>
          <w:sz w:val="22"/>
          <w:szCs w:val="22"/>
        </w:rPr>
      </w:pPr>
      <w:r>
        <w:t xml:space="preserve">Number of Metallic CNTs:</w:t>
      </w:r>
    </w:p>
    <w:p>
      <w:pPr>
        <w:shd w:fill="EBF3FB" w:val="clear"/>
        <w:spacing w:after="80" w:before="80"/>
        <w:ind w:left="720"/>
      </w:pPr>
      <w:r>
        <w:rPr>
          <w:rFonts w:ascii="Courier New" w:cs="Courier New" w:eastAsia="Courier New" w:hAnsi="Courier New"/>
          <w:b/>
          <w:bCs/>
          <w:color w:val="1F3864"/>
          <w:sz w:val="20"/>
          <w:szCs w:val="20"/>
        </w:rPr>
        <w:t xml:space="preserve">N_m = round(N_total × F_m),   F_m = 1/3  (unsorted synthesis)</w:t>
      </w:r>
    </w:p>
    <w:p>
      <w:pPr>
        <w:spacing w:after="60" w:before="60"/>
      </w:pPr>
      <w:r>
        <w:rPr>
          <w:rFonts w:ascii="Calibri" w:cs="Calibri" w:eastAsia="Calibri" w:hAnsi="Calibri"/>
          <w:color w:val="C55A11"/>
          <w:sz w:val="18"/>
          <w:szCs w:val="18"/>
        </w:rPr>
        <w:t xml:space="preserve">For sorted/aligned synthesis: F_m can reach 1.0; cite the synthesis method used in your assumption.</w:t>
      </w:r>
    </w:p>
    <w:p>
      <w:pPr>
        <w:spacing w:after="60" w:before="60"/>
      </w:pPr>
    </w:p>
    <w:p>
      <w:pPr>
        <w:pStyle w:val="Heading2"/>
        <w:spacing w:after="80" w:before="240"/>
        <w:rPr>
          <w:rFonts w:ascii="Calibri" w:cs="Calibri" w:eastAsia="Calibri" w:hAnsi="Calibri"/>
          <w:b/>
          <w:bCs/>
          <w:color w:val="2E75B6"/>
          <w:sz w:val="24"/>
          <w:szCs w:val="24"/>
        </w:rPr>
      </w:pPr>
      <w:r>
        <w:t xml:space="preserve">3.2  Resistance (Latest Model with Phonon Scattering)</w:t>
      </w:r>
    </w:p>
    <w:p>
      <w:pPr>
        <w:spacing w:after="60" w:before="60"/>
      </w:pPr>
    </w:p>
    <w:p>
      <w:pPr>
        <w:spacing w:after="60" w:before="60"/>
      </w:pPr>
      <w:r>
        <w:rPr>
          <w:rFonts w:ascii="Calibri" w:cs="Calibri" w:eastAsia="Calibri" w:hAnsi="Calibri"/>
          <w:b w:val="false"/>
          <w:bCs w:val="false"/>
          <w:sz w:val="20"/>
          <w:szCs w:val="20"/>
        </w:rPr>
        <w:t xml:space="preserve">The 2022 MDPI model introduces an effective mean free path λ_eff that accounts for both acoustic (AC) and optical (OP) phonon scattering, making it more accurate at sub-22nm nodes than the fixed λ_mfp = 1μm assumption used in older papers.</w:t>
      </w:r>
    </w:p>
    <w:p>
      <w:pPr>
        <w:spacing w:after="60" w:before="60"/>
      </w:pPr>
    </w:p>
    <w:p>
      <w:pPr>
        <w:pStyle w:val="Heading3"/>
        <w:spacing w:after="60" w:before="180"/>
        <w:rPr>
          <w:rFonts w:ascii="Calibri" w:cs="Calibri" w:eastAsia="Calibri" w:hAnsi="Calibri"/>
          <w:b/>
          <w:bCs/>
          <w:color w:val="1E4D2B"/>
          <w:sz w:val="22"/>
          <w:szCs w:val="22"/>
        </w:rPr>
      </w:pPr>
      <w:r>
        <w:t xml:space="preserve">Effective Mean Free Path (temperature-dependent):</w:t>
      </w:r>
    </w:p>
    <w:p>
      <w:pPr>
        <w:shd w:fill="EBF3FB" w:val="clear"/>
        <w:spacing w:after="80" w:before="80"/>
        <w:ind w:left="720"/>
      </w:pPr>
      <w:r>
        <w:rPr>
          <w:rFonts w:ascii="Courier New" w:cs="Courier New" w:eastAsia="Courier New" w:hAnsi="Courier New"/>
          <w:b/>
          <w:bCs/>
          <w:color w:val="1F3864"/>
          <w:sz w:val="20"/>
          <w:szCs w:val="20"/>
        </w:rPr>
        <w:t xml:space="preserve">1/λ_eff = 1/λ_AC + 1/λ_OP</w:t>
      </w:r>
    </w:p>
    <w:p>
      <w:pPr>
        <w:shd w:fill="EBF3FB" w:val="clear"/>
        <w:spacing w:after="80" w:before="80"/>
        <w:ind w:left="720"/>
      </w:pPr>
      <w:r>
        <w:rPr>
          <w:rFonts w:ascii="Courier New" w:cs="Courier New" w:eastAsia="Courier New" w:hAnsi="Courier New"/>
          <w:b/>
          <w:bCs/>
          <w:color w:val="1F3864"/>
          <w:sz w:val="20"/>
          <w:szCs w:val="20"/>
        </w:rPr>
        <w:t xml:space="preserve">λ_AC = 400/(T/300) nm   [acoustic phonon MFP, T in Kelvin]</w:t>
      </w:r>
    </w:p>
    <w:p>
      <w:pPr>
        <w:shd w:fill="EBF3FB" w:val="clear"/>
        <w:spacing w:after="80" w:before="80"/>
        <w:ind w:left="720"/>
      </w:pPr>
      <w:r>
        <w:rPr>
          <w:rFonts w:ascii="Courier New" w:cs="Courier New" w:eastAsia="Courier New" w:hAnsi="Courier New"/>
          <w:b/>
          <w:bCs/>
          <w:color w:val="1F3864"/>
          <w:sz w:val="20"/>
          <w:szCs w:val="20"/>
        </w:rPr>
        <w:t xml:space="preserve">λ_OP = 56 nm            [optical phonon MFP, approximately temperature-independent]</w:t>
      </w:r>
    </w:p>
    <w:p>
      <w:pPr>
        <w:spacing w:after="60" w:before="60"/>
      </w:pPr>
      <w:r>
        <w:rPr>
          <w:rFonts w:ascii="Calibri" w:cs="Calibri" w:eastAsia="Calibri" w:hAnsi="Calibri"/>
          <w:sz w:val="18"/>
          <w:szCs w:val="18"/>
        </w:rPr>
        <w:t xml:space="preserve">At T = 300K:  λ_AC = 400 nm,  λ_OP = 56 nm  → λ_eff ≈ 48.8 nm</w:t>
      </w:r>
    </w:p>
    <w:p>
      <w:pPr>
        <w:spacing w:after="60" w:before="60"/>
      </w:pPr>
    </w:p>
    <w:p>
      <w:pPr>
        <w:pStyle w:val="Heading3"/>
        <w:spacing w:after="60" w:before="180"/>
        <w:rPr>
          <w:rFonts w:ascii="Calibri" w:cs="Calibri" w:eastAsia="Calibri" w:hAnsi="Calibri"/>
          <w:b/>
          <w:bCs/>
          <w:color w:val="1E4D2B"/>
          <w:sz w:val="22"/>
          <w:szCs w:val="22"/>
        </w:rPr>
      </w:pPr>
      <w:r>
        <w:t xml:space="preserve">Per-CNT Resistance (full model):</w:t>
      </w:r>
    </w:p>
    <w:p>
      <w:pPr>
        <w:shd w:fill="EBF3FB" w:val="clear"/>
        <w:spacing w:after="80" w:before="80"/>
        <w:ind w:left="720"/>
      </w:pPr>
      <w:r>
        <w:rPr>
          <w:rFonts w:ascii="Courier New" w:cs="Courier New" w:eastAsia="Courier New" w:hAnsi="Courier New"/>
          <w:b/>
          <w:bCs/>
          <w:color w:val="1F3864"/>
          <w:sz w:val="20"/>
          <w:szCs w:val="20"/>
        </w:rPr>
        <w:t xml:space="preserve">R_CNT = R_Q + R_scatter(L) + R_contact</w:t>
      </w:r>
    </w:p>
    <w:p>
      <w:pPr>
        <w:shd w:fill="EBF3FB" w:val="clear"/>
        <w:spacing w:after="80" w:before="80"/>
        <w:ind w:left="720"/>
      </w:pPr>
      <w:r>
        <w:rPr>
          <w:rFonts w:ascii="Courier New" w:cs="Courier New" w:eastAsia="Courier New" w:hAnsi="Courier New"/>
          <w:b/>
          <w:bCs/>
          <w:color w:val="1F3864"/>
          <w:sz w:val="20"/>
          <w:szCs w:val="20"/>
        </w:rPr>
        <w:t xml:space="preserve">R_Q = h/(4e²) ≈ 6.45 kΩ   [quantum/contact resistance per CNT, 4 channels]</w:t>
      </w:r>
    </w:p>
    <w:p>
      <w:pPr>
        <w:shd w:fill="EBF3FB" w:val="clear"/>
        <w:spacing w:after="80" w:before="80"/>
        <w:ind w:left="720"/>
      </w:pPr>
      <w:r>
        <w:rPr>
          <w:rFonts w:ascii="Courier New" w:cs="Courier New" w:eastAsia="Courier New" w:hAnsi="Courier New"/>
          <w:b/>
          <w:bCs/>
          <w:color w:val="1F3864"/>
          <w:sz w:val="20"/>
          <w:szCs w:val="20"/>
        </w:rPr>
        <w:t xml:space="preserve">R_scatter = (h/4e²) × (L/λ_eff)   [scattering resistance, length-dependent]</w:t>
      </w:r>
    </w:p>
    <w:p>
      <w:pPr>
        <w:shd w:fill="EBF3FB" w:val="clear"/>
        <w:spacing w:after="80" w:before="80"/>
        <w:ind w:left="720"/>
      </w:pPr>
      <w:r>
        <w:rPr>
          <w:rFonts w:ascii="Courier New" w:cs="Courier New" w:eastAsia="Courier New" w:hAnsi="Courier New"/>
          <w:b/>
          <w:bCs/>
          <w:color w:val="1F3864"/>
          <w:sz w:val="20"/>
          <w:szCs w:val="20"/>
        </w:rPr>
        <w:t xml:space="preserve">R_contact = R_C   [imperfect metal-CNT contact, 3.2–100 kΩ; cite your chosen value]</w:t>
      </w:r>
    </w:p>
    <w:p>
      <w:pPr>
        <w:spacing w:after="60" w:before="60"/>
      </w:pPr>
    </w:p>
    <w:p>
      <w:pPr>
        <w:pStyle w:val="Heading3"/>
        <w:spacing w:after="60" w:before="180"/>
        <w:rPr>
          <w:rFonts w:ascii="Calibri" w:cs="Calibri" w:eastAsia="Calibri" w:hAnsi="Calibri"/>
          <w:b/>
          <w:bCs/>
          <w:color w:val="1E4D2B"/>
          <w:sz w:val="22"/>
          <w:szCs w:val="22"/>
        </w:rPr>
      </w:pPr>
      <w:r>
        <w:t xml:space="preserve">Bundle Resistance Per Unit Length:</w:t>
      </w:r>
    </w:p>
    <w:p>
      <w:pPr>
        <w:shd w:fill="EBF3FB" w:val="clear"/>
        <w:spacing w:after="80" w:before="80"/>
        <w:ind w:left="720"/>
      </w:pPr>
      <w:r>
        <w:rPr>
          <w:rFonts w:ascii="Courier New" w:cs="Courier New" w:eastAsia="Courier New" w:hAnsi="Courier New"/>
          <w:b/>
          <w:bCs/>
          <w:color w:val="1F3864"/>
          <w:sz w:val="20"/>
          <w:szCs w:val="20"/>
        </w:rPr>
        <w:t xml:space="preserve">R_bundle = R_CNT / N_m   [parallel combination of metallic CNTs]</w:t>
      </w:r>
    </w:p>
    <w:p>
      <w:pPr>
        <w:shd w:fill="EBF3FB" w:val="clear"/>
        <w:spacing w:after="80" w:before="80"/>
        <w:ind w:left="720"/>
      </w:pPr>
      <w:r>
        <w:rPr>
          <w:rFonts w:ascii="Courier New" w:cs="Courier New" w:eastAsia="Courier New" w:hAnsi="Courier New"/>
          <w:b/>
          <w:bCs/>
          <w:color w:val="1F3864"/>
          <w:sz w:val="20"/>
          <w:szCs w:val="20"/>
        </w:rPr>
        <w:t xml:space="preserve">R_per_length = R_bundle / L   [Ω/m]</w:t>
      </w:r>
    </w:p>
    <w:p>
      <w:pPr>
        <w:spacing w:after="60" w:before="60"/>
      </w:pPr>
    </w:p>
    <w:p>
      <w:pPr>
        <w:spacing w:after="40" w:before="40"/>
      </w:pPr>
      <w:r>
        <w:rPr>
          <w:rFonts w:ascii="Calibri" w:cs="Calibri" w:eastAsia="Calibri" w:hAnsi="Calibri"/>
          <w:color w:val="C55A11"/>
          <w:sz w:val="18"/>
          <w:szCs w:val="18"/>
        </w:rPr>
        <w:t xml:space="preserve">Note: R_contact value is the largest source of uncertainty. The MDPI 2022 paper uses 3.2 kΩ as a lower bound (best-case Pd contacts); many simulation papers use 10 kΩ as typical. State your assumption explicitly and perform a sensitivity analysis if time permits.</w:t>
      </w:r>
    </w:p>
    <w:p>
      <w:pPr>
        <w:spacing w:after="30" w:before="30"/>
      </w:pPr>
      <w:r>
        <w:rPr>
          <w:rFonts w:ascii="Calibri" w:cs="Calibri" w:eastAsia="Calibri" w:hAnsi="Calibri"/>
          <w:color w:val="595959"/>
          <w:sz w:val="18"/>
          <w:szCs w:val="18"/>
        </w:rPr>
        <w:t xml:space="preserve">Primary Reference [CNT-R]: Majumder, M.K. et al. 'A Theoretical Modeling of Adaptive Mixed CNT Bundles for High-Speed VLSI Interconnect Design.' MDPI Crystals, 12(2), 186, 2022. DOI: 10.3390/cryst12020186</w:t>
      </w:r>
    </w:p>
    <w:p>
      <w:pPr>
        <w:spacing w:after="30" w:before="30"/>
      </w:pPr>
      <w:r>
        <w:rPr>
          <w:rFonts w:ascii="Calibri" w:cs="Calibri" w:eastAsia="Calibri" w:hAnsi="Calibri"/>
          <w:color w:val="595959"/>
          <w:sz w:val="18"/>
          <w:szCs w:val="18"/>
        </w:rPr>
        <w:t xml:space="preserve">Phonon MFP Reference [CNT-R2]: Park, J.Y. et al. 'Electron-phonon scattering in metallic single-walled carbon nanotubes.' Nano Letters, 4(3), 517–520, 2004.</w:t>
      </w:r>
    </w:p>
    <w:p>
      <w:pPr>
        <w:spacing w:after="60" w:before="60"/>
      </w:pPr>
    </w:p>
    <w:p>
      <w:pPr>
        <w:pStyle w:val="Heading2"/>
        <w:spacing w:after="80" w:before="240"/>
        <w:rPr>
          <w:rFonts w:ascii="Calibri" w:cs="Calibri" w:eastAsia="Calibri" w:hAnsi="Calibri"/>
          <w:b/>
          <w:bCs/>
          <w:color w:val="2E75B6"/>
          <w:sz w:val="24"/>
          <w:szCs w:val="24"/>
        </w:rPr>
      </w:pPr>
      <w:r>
        <w:t xml:space="preserve">3.3  Inductance</w:t>
      </w:r>
    </w:p>
    <w:p>
      <w:pPr>
        <w:spacing w:after="60" w:before="60"/>
      </w:pPr>
    </w:p>
    <w:p>
      <w:pPr>
        <w:spacing w:after="60" w:before="60"/>
      </w:pPr>
      <w:r>
        <w:rPr>
          <w:rFonts w:ascii="Calibri" w:cs="Calibri" w:eastAsia="Calibri" w:hAnsi="Calibri"/>
          <w:b w:val="false"/>
          <w:bCs w:val="false"/>
          <w:sz w:val="20"/>
          <w:szCs w:val="20"/>
        </w:rPr>
        <w:t xml:space="preserve">Two inductance components contribute: kinetic inductance (dominant, quantum mechanical, due to electron inertia in 1D conduction channels) and magnetic inductance (classical, from geometry).</w:t>
      </w:r>
    </w:p>
    <w:p>
      <w:pPr>
        <w:spacing w:after="60" w:before="60"/>
      </w:pPr>
    </w:p>
    <w:p>
      <w:pPr>
        <w:pStyle w:val="Heading3"/>
        <w:spacing w:after="60" w:before="180"/>
        <w:rPr>
          <w:rFonts w:ascii="Calibri" w:cs="Calibri" w:eastAsia="Calibri" w:hAnsi="Calibri"/>
          <w:b/>
          <w:bCs/>
          <w:color w:val="1E4D2B"/>
          <w:sz w:val="22"/>
          <w:szCs w:val="22"/>
        </w:rPr>
      </w:pPr>
      <w:r>
        <w:t xml:space="preserve">Kinetic Inductance Per CNT (all 4 channels combined):</w:t>
      </w:r>
    </w:p>
    <w:p>
      <w:pPr>
        <w:shd w:fill="EBF3FB" w:val="clear"/>
        <w:spacing w:after="80" w:before="80"/>
        <w:ind w:left="720"/>
      </w:pPr>
      <w:r>
        <w:rPr>
          <w:rFonts w:ascii="Courier New" w:cs="Courier New" w:eastAsia="Courier New" w:hAnsi="Courier New"/>
          <w:b/>
          <w:bCs/>
          <w:color w:val="1F3864"/>
          <w:sz w:val="20"/>
          <w:szCs w:val="20"/>
        </w:rPr>
        <w:t xml:space="preserve">L_K_tube = h/(4e²·v_F) ≈ 8.07 nH/μm</w:t>
      </w:r>
    </w:p>
    <w:p>
      <w:pPr>
        <w:spacing w:after="60" w:before="60"/>
      </w:pPr>
      <w:r>
        <w:rPr>
          <w:rFonts w:ascii="Calibri" w:cs="Calibri" w:eastAsia="Calibri" w:hAnsi="Calibri"/>
          <w:color w:val="C55A11"/>
          <w:sz w:val="18"/>
          <w:szCs w:val="18"/>
        </w:rPr>
        <w:t xml:space="preserve">where:  v_F = 8×10⁵ m/s (Fermi velocity in metallic SWCNT). Note: this uses 4e², the same whole-tube (4-channel) convention as R_Q = h/4e² above — it is NOT a per-single-channel value, so it must not be divided by an extra channel-count factor when computing the bundle total below.</w:t>
      </w:r>
    </w:p>
    <w:p>
      <w:pPr>
        <w:spacing w:after="60" w:before="60"/>
      </w:pPr>
    </w:p>
    <w:p>
      <w:pPr>
        <w:pStyle w:val="Heading3"/>
        <w:spacing w:after="60" w:before="180"/>
        <w:rPr>
          <w:rFonts w:ascii="Calibri" w:cs="Calibri" w:eastAsia="Calibri" w:hAnsi="Calibri"/>
          <w:b/>
          <w:bCs/>
          <w:color w:val="1E4D2B"/>
          <w:sz w:val="22"/>
          <w:szCs w:val="22"/>
        </w:rPr>
      </w:pPr>
      <w:r>
        <w:t xml:space="preserve">Total Bundle Kinetic Inductance Per Unit Length:</w:t>
      </w:r>
    </w:p>
    <w:p>
      <w:pPr>
        <w:shd w:fill="EBF3FB" w:val="clear"/>
        <w:spacing w:after="80" w:before="80"/>
        <w:ind w:left="720"/>
      </w:pPr>
      <w:r>
        <w:rPr>
          <w:rFonts w:ascii="Courier New" w:cs="Courier New" w:eastAsia="Courier New" w:hAnsi="Courier New"/>
          <w:b/>
          <w:bCs/>
          <w:color w:val="1F3864"/>
          <w:sz w:val="20"/>
          <w:szCs w:val="20"/>
        </w:rPr>
        <w:t xml:space="preserve">L_K_bundle = L_K_tube / N_m   [H/m]</w:t>
      </w:r>
    </w:p>
    <w:p>
      <w:pPr>
        <w:spacing w:after="60" w:before="60"/>
      </w:pPr>
      <w:r>
        <w:rPr>
          <w:rFonts w:ascii="Calibri" w:cs="Calibri" w:eastAsia="Calibri" w:hAnsi="Calibri"/>
          <w:color w:val="C55A11"/>
          <w:sz w:val="18"/>
          <w:szCs w:val="18"/>
        </w:rPr>
        <w:t xml:space="preserve">where:  L_K_tube = h/(4e²·v_F) is already the per-tube value (the 4e² term accounts for all 4 conducting channels of one metallic SWCNT, consistent with the R_Q = h/4e² convention used above). N_m identical tubes in parallel combine like resistors, so no additional channel-count factor is applied here.</w:t>
      </w:r>
    </w:p>
    <w:p>
      <w:pPr>
        <w:spacing w:after="60" w:before="60"/>
      </w:pPr>
    </w:p>
    <w:p>
      <w:pPr>
        <w:pStyle w:val="Heading3"/>
        <w:spacing w:after="60" w:before="180"/>
        <w:rPr>
          <w:rFonts w:ascii="Calibri" w:cs="Calibri" w:eastAsia="Calibri" w:hAnsi="Calibri"/>
          <w:b/>
          <w:bCs/>
          <w:color w:val="1E4D2B"/>
          <w:sz w:val="22"/>
          <w:szCs w:val="22"/>
        </w:rPr>
      </w:pPr>
      <w:r>
        <w:t xml:space="preserve">Magnetic Inductance Per Unit Length (same form as Cu):</w:t>
      </w:r>
    </w:p>
    <w:p>
      <w:pPr>
        <w:shd w:fill="EBF3FB" w:val="clear"/>
        <w:spacing w:after="80" w:before="80"/>
        <w:ind w:left="720"/>
      </w:pPr>
      <w:r>
        <w:rPr>
          <w:rFonts w:ascii="Courier New" w:cs="Courier New" w:eastAsia="Courier New" w:hAnsi="Courier New"/>
          <w:b/>
          <w:bCs/>
          <w:color w:val="1F3864"/>
          <w:sz w:val="20"/>
          <w:szCs w:val="20"/>
        </w:rPr>
        <w:t xml:space="preserve">L_M = (μ₀/2π) × ln(2H/W + 1)   [H/m, approximate for bundle geometry]</w:t>
      </w:r>
    </w:p>
    <w:p>
      <w:pPr>
        <w:spacing w:after="60" w:before="60"/>
      </w:pPr>
    </w:p>
    <w:p>
      <w:pPr>
        <w:pStyle w:val="Heading3"/>
        <w:spacing w:after="60" w:before="180"/>
        <w:rPr>
          <w:rFonts w:ascii="Calibri" w:cs="Calibri" w:eastAsia="Calibri" w:hAnsi="Calibri"/>
          <w:b/>
          <w:bCs/>
          <w:color w:val="1E4D2B"/>
          <w:sz w:val="22"/>
          <w:szCs w:val="22"/>
        </w:rPr>
      </w:pPr>
      <w:r>
        <w:t xml:space="preserve">Total Bundle Inductance:</w:t>
      </w:r>
    </w:p>
    <w:p>
      <w:pPr>
        <w:shd w:fill="EBF3FB" w:val="clear"/>
        <w:spacing w:after="80" w:before="80"/>
        <w:ind w:left="720"/>
      </w:pPr>
      <w:r>
        <w:rPr>
          <w:rFonts w:ascii="Courier New" w:cs="Courier New" w:eastAsia="Courier New" w:hAnsi="Courier New"/>
          <w:b/>
          <w:bCs/>
          <w:color w:val="1F3864"/>
          <w:sz w:val="20"/>
          <w:szCs w:val="20"/>
        </w:rPr>
        <w:t xml:space="preserve">L_total = L_K_bundle + L_M   [H/m]</w:t>
      </w:r>
    </w:p>
    <w:p>
      <w:pPr>
        <w:spacing w:after="40" w:before="40"/>
      </w:pPr>
      <w:r>
        <w:rPr>
          <w:rFonts w:ascii="Calibri" w:cs="Calibri" w:eastAsia="Calibri" w:hAnsi="Calibri"/>
          <w:color w:val="C55A11"/>
          <w:sz w:val="18"/>
          <w:szCs w:val="18"/>
        </w:rPr>
        <w:t xml:space="preserve">Note: At long interconnect lengths (L &gt;&gt; λ_eff), kinetic inductance dominates over magnetic inductance by 2–3 orders of magnitude. This is the reason CNT interconnects show higher inductance than Cu — not a disadvantage for delay but relevant for signal integrity analysis.</w:t>
      </w:r>
    </w:p>
    <w:p>
      <w:pPr>
        <w:spacing w:after="30" w:before="30"/>
      </w:pPr>
      <w:r>
        <w:rPr>
          <w:rFonts w:ascii="Calibri" w:cs="Calibri" w:eastAsia="Calibri" w:hAnsi="Calibri"/>
          <w:color w:val="595959"/>
          <w:sz w:val="18"/>
          <w:szCs w:val="18"/>
        </w:rPr>
        <w:t xml:space="preserve">Reference [CNT-L]: Naeemi, A. &amp; Meindl, J.D. 'Performance Modeling for Single- and Multiwall Carbon Nanotubes as Signal and Power Interconnects in Gigascale Systems.' IEEE Trans. Electron Devices, 55(10), 2574–2582, 2008.</w:t>
      </w:r>
    </w:p>
    <w:p>
      <w:pPr>
        <w:spacing w:after="60" w:before="60"/>
      </w:pPr>
    </w:p>
    <w:p>
      <w:pPr>
        <w:pStyle w:val="Heading2"/>
        <w:spacing w:after="80" w:before="240"/>
        <w:rPr>
          <w:rFonts w:ascii="Calibri" w:cs="Calibri" w:eastAsia="Calibri" w:hAnsi="Calibri"/>
          <w:b/>
          <w:bCs/>
          <w:color w:val="2E75B6"/>
          <w:sz w:val="24"/>
          <w:szCs w:val="24"/>
        </w:rPr>
      </w:pPr>
      <w:r>
        <w:t xml:space="preserve">3.4  Capacitance</w:t>
      </w:r>
    </w:p>
    <w:p>
      <w:pPr>
        <w:spacing w:after="60" w:before="60"/>
      </w:pPr>
    </w:p>
    <w:p>
      <w:pPr>
        <w:spacing w:after="60" w:before="60"/>
      </w:pPr>
      <w:r>
        <w:rPr>
          <w:rFonts w:ascii="Calibri" w:cs="Calibri" w:eastAsia="Calibri" w:hAnsi="Calibri"/>
          <w:b w:val="false"/>
          <w:bCs w:val="false"/>
          <w:sz w:val="20"/>
          <w:szCs w:val="20"/>
        </w:rPr>
        <w:t xml:space="preserve">Two capacitance components appear: quantum capacitance (from the density of states at the Fermi level, intrinsic to the 1D conductor) and electrostatic capacitance (geometric, same origin as Cu).</w:t>
      </w:r>
    </w:p>
    <w:p>
      <w:pPr>
        <w:spacing w:after="60" w:before="60"/>
      </w:pPr>
    </w:p>
    <w:p>
      <w:pPr>
        <w:pStyle w:val="Heading3"/>
        <w:spacing w:after="60" w:before="180"/>
        <w:rPr>
          <w:rFonts w:ascii="Calibri" w:cs="Calibri" w:eastAsia="Calibri" w:hAnsi="Calibri"/>
          <w:b/>
          <w:bCs/>
          <w:color w:val="1E4D2B"/>
          <w:sz w:val="22"/>
          <w:szCs w:val="22"/>
        </w:rPr>
      </w:pPr>
      <w:r>
        <w:t xml:space="preserve">Quantum Capacitance Per CNT Per Unit Length:</w:t>
      </w:r>
    </w:p>
    <w:p>
      <w:pPr>
        <w:shd w:fill="EBF3FB" w:val="clear"/>
        <w:spacing w:after="80" w:before="80"/>
        <w:ind w:left="720"/>
      </w:pPr>
      <w:r>
        <w:rPr>
          <w:rFonts w:ascii="Courier New" w:cs="Courier New" w:eastAsia="Courier New" w:hAnsi="Courier New"/>
          <w:b/>
          <w:bCs/>
          <w:color w:val="1F3864"/>
          <w:sz w:val="20"/>
          <w:szCs w:val="20"/>
        </w:rPr>
        <w:t xml:space="preserve">C_Q = 4e²/(h·v_F) ≈ 193.7 aF/μm   [per CNT, all 4 channels in parallel]</w:t>
      </w:r>
    </w:p>
    <w:p>
      <w:pPr>
        <w:spacing w:after="60" w:before="60"/>
      </w:pPr>
      <w:r>
        <w:rPr>
          <w:rFonts w:ascii="Calibri" w:cs="Calibri" w:eastAsia="Calibri" w:hAnsi="Calibri"/>
          <w:color w:val="C55A11"/>
          <w:sz w:val="18"/>
          <w:szCs w:val="18"/>
        </w:rPr>
        <w:t xml:space="preserve">Corrected value: earlier drafts of this sheet listed 96.5 aF/μm, which is the 2e²/(h·v_F) single-channel result and is inconsistent with the 4e² (whole-tube, 4-channel) convention used for R_Q and L_K_tube above. Use 193.7 aF/μm to stay consistent throughout.</w:t>
      </w:r>
    </w:p>
    <w:p>
      <w:pPr>
        <w:spacing w:after="60" w:before="60"/>
      </w:pPr>
    </w:p>
    <w:p>
      <w:pPr>
        <w:pStyle w:val="Heading3"/>
        <w:spacing w:after="60" w:before="180"/>
        <w:rPr>
          <w:rFonts w:ascii="Calibri" w:cs="Calibri" w:eastAsia="Calibri" w:hAnsi="Calibri"/>
          <w:b/>
          <w:bCs/>
          <w:color w:val="1E4D2B"/>
          <w:sz w:val="22"/>
          <w:szCs w:val="22"/>
        </w:rPr>
      </w:pPr>
      <w:r>
        <w:t xml:space="preserve">Total Bundle Quantum Capacitance Per Unit Length:</w:t>
      </w:r>
    </w:p>
    <w:p>
      <w:pPr>
        <w:shd w:fill="EBF3FB" w:val="clear"/>
        <w:spacing w:after="80" w:before="80"/>
        <w:ind w:left="720"/>
      </w:pPr>
      <w:r>
        <w:rPr>
          <w:rFonts w:ascii="Courier New" w:cs="Courier New" w:eastAsia="Courier New" w:hAnsi="Courier New"/>
          <w:b/>
          <w:bCs/>
          <w:color w:val="1F3864"/>
          <w:sz w:val="20"/>
          <w:szCs w:val="20"/>
        </w:rPr>
        <w:t xml:space="preserve">C_Q_bundle = C_Q × N_m   [F/m, all metallic tubes in parallel]</w:t>
      </w:r>
    </w:p>
    <w:p>
      <w:pPr>
        <w:spacing w:after="60" w:before="60"/>
      </w:pPr>
    </w:p>
    <w:p>
      <w:pPr>
        <w:pStyle w:val="Heading3"/>
        <w:spacing w:after="60" w:before="180"/>
        <w:rPr>
          <w:rFonts w:ascii="Calibri" w:cs="Calibri" w:eastAsia="Calibri" w:hAnsi="Calibri"/>
          <w:b/>
          <w:bCs/>
          <w:color w:val="1E4D2B"/>
          <w:sz w:val="22"/>
          <w:szCs w:val="22"/>
        </w:rPr>
      </w:pPr>
      <w:r>
        <w:t xml:space="preserve">Electrostatic Capacitance Per Unit Length:</w:t>
      </w:r>
    </w:p>
    <w:p>
      <w:pPr>
        <w:shd w:fill="EBF3FB" w:val="clear"/>
        <w:spacing w:after="80" w:before="80"/>
        <w:ind w:left="720"/>
      </w:pPr>
      <w:r>
        <w:rPr>
          <w:rFonts w:ascii="Courier New" w:cs="Courier New" w:eastAsia="Courier New" w:hAnsi="Courier New"/>
          <w:b/>
          <w:bCs/>
          <w:color w:val="1F3864"/>
          <w:sz w:val="20"/>
          <w:szCs w:val="20"/>
        </w:rPr>
        <w:t xml:space="preserve">C_E = 2πε₀εᵣ / ln(2y/d)   [F/m, CNT bundle to ground plane]</w:t>
      </w:r>
    </w:p>
    <w:p>
      <w:pPr>
        <w:spacing w:after="60" w:before="60"/>
      </w:pPr>
      <w:r>
        <w:rPr>
          <w:rFonts w:ascii="Calibri" w:cs="Calibri" w:eastAsia="Calibri" w:hAnsi="Calibri"/>
          <w:sz w:val="18"/>
          <w:szCs w:val="18"/>
        </w:rPr>
        <w:t xml:space="preserve">where:  y = height of bundle center above ground plane,   d = bundle diameter (outermost dimension),   εᵣ = dielectric constant</w:t>
      </w:r>
    </w:p>
    <w:p>
      <w:pPr>
        <w:spacing w:after="60" w:before="60"/>
      </w:pPr>
    </w:p>
    <w:p>
      <w:pPr>
        <w:pStyle w:val="Heading3"/>
        <w:spacing w:after="60" w:before="180"/>
        <w:rPr>
          <w:rFonts w:ascii="Calibri" w:cs="Calibri" w:eastAsia="Calibri" w:hAnsi="Calibri"/>
          <w:b/>
          <w:bCs/>
          <w:color w:val="1E4D2B"/>
          <w:sz w:val="22"/>
          <w:szCs w:val="22"/>
        </w:rPr>
      </w:pPr>
      <w:r>
        <w:t xml:space="preserve">Total Bundle Capacitance (series combination per channel):</w:t>
      </w:r>
    </w:p>
    <w:p>
      <w:pPr>
        <w:shd w:fill="EBF3FB" w:val="clear"/>
        <w:spacing w:after="80" w:before="80"/>
        <w:ind w:left="720"/>
      </w:pPr>
      <w:r>
        <w:rPr>
          <w:rFonts w:ascii="Courier New" w:cs="Courier New" w:eastAsia="Courier New" w:hAnsi="Courier New"/>
          <w:b/>
          <w:bCs/>
          <w:color w:val="1F3864"/>
          <w:sz w:val="20"/>
          <w:szCs w:val="20"/>
        </w:rPr>
        <w:t xml:space="preserve">1/C_total = 1/C_Q_bundle + 1/C_E   [F/m]</w:t>
      </w:r>
    </w:p>
    <w:p>
      <w:pPr>
        <w:spacing w:after="40" w:before="40"/>
      </w:pPr>
      <w:r>
        <w:rPr>
          <w:rFonts w:ascii="Calibri" w:cs="Calibri" w:eastAsia="Calibri" w:hAnsi="Calibri"/>
          <w:color w:val="C55A11"/>
          <w:sz w:val="18"/>
          <w:szCs w:val="18"/>
        </w:rPr>
        <w:t xml:space="preserve">Note: C_Q_bundle is usually much larger than C_E at these dimensions, so C_total ≈ C_E in most simulations. However, always compute both explicitly for sub-14nm nodes where C_Q becomes comparable.</w:t>
      </w:r>
    </w:p>
    <w:p>
      <w:pPr>
        <w:spacing w:after="30" w:before="30"/>
      </w:pPr>
      <w:r>
        <w:rPr>
          <w:rFonts w:ascii="Calibri" w:cs="Calibri" w:eastAsia="Calibri" w:hAnsi="Calibri"/>
          <w:color w:val="595959"/>
          <w:sz w:val="18"/>
          <w:szCs w:val="18"/>
        </w:rPr>
        <w:t xml:space="preserve">Reference [CNT-C]: Srivastava, N. et al. 'Carbon Interconnects: Implications for Performance, Power Dissipation and Thermal Management.' IEEE CICC, 2005. [First full 3D capacitance treatment for SWCNT bundles]</w:t>
      </w:r>
    </w:p>
    <w:p>
      <w:pPr>
        <w:spacing w:after="30" w:before="30"/>
      </w:pPr>
      <w:r>
        <w:rPr>
          <w:rFonts w:ascii="Calibri" w:cs="Calibri" w:eastAsia="Calibri" w:hAnsi="Calibri"/>
          <w:color w:val="595959"/>
          <w:sz w:val="18"/>
          <w:szCs w:val="18"/>
        </w:rPr>
        <w:t xml:space="preserve">Updated model [CNT-C2]: Majumder, M.K. et al. MDPI Crystals, 12(2), 186, 2022. [Equations 21–23 — quantum + electrostatic for bundle, with ITRS node-wise dimensions]</w:t>
      </w:r>
    </w:p>
    <w:p>
      <w:pPr>
        <w:spacing w:after="60" w:before="60"/>
      </w:pPr>
    </w:p>
    <w:p>
      <w:pPr>
        <w:shd w:fill="1F3864" w:val="clear"/>
        <w:spacing w:after="120" w:before="200"/>
      </w:pPr>
      <w:r>
        <w:rPr>
          <w:rFonts w:ascii="Calibri" w:cs="Calibri" w:eastAsia="Calibri" w:hAnsi="Calibri"/>
          <w:b/>
          <w:bCs/>
          <w:color w:val="FFFFFF"/>
          <w:sz w:val="22"/>
          <w:szCs w:val="22"/>
        </w:rPr>
        <w:t xml:space="preserve">  SECTION 4 — PROPAGATION DELAY &amp; PERFORMANCE METRICS  </w:t>
      </w:r>
    </w:p>
    <w:p>
      <w:pPr>
        <w:spacing w:after="60" w:before="60"/>
      </w:pPr>
    </w:p>
    <w:p>
      <w:pPr>
        <w:pStyle w:val="Heading2"/>
        <w:spacing w:after="80" w:before="240"/>
        <w:rPr>
          <w:rFonts w:ascii="Calibri" w:cs="Calibri" w:eastAsia="Calibri" w:hAnsi="Calibri"/>
          <w:b/>
          <w:bCs/>
          <w:color w:val="2E75B6"/>
          <w:sz w:val="24"/>
          <w:szCs w:val="24"/>
        </w:rPr>
      </w:pPr>
      <w:r>
        <w:t xml:space="preserve">4.1  Elmore Delay (Closed Form)</w:t>
      </w:r>
    </w:p>
    <w:p>
      <w:pPr>
        <w:shd w:fill="EBF3FB" w:val="clear"/>
        <w:spacing w:after="80" w:before="80"/>
        <w:ind w:left="720"/>
      </w:pPr>
      <w:r>
        <w:rPr>
          <w:rFonts w:ascii="Courier New" w:cs="Courier New" w:eastAsia="Courier New" w:hAnsi="Courier New"/>
          <w:b/>
          <w:bCs/>
          <w:color w:val="1F3864"/>
          <w:sz w:val="20"/>
          <w:szCs w:val="20"/>
        </w:rPr>
        <w:t xml:space="preserve">t_D = 0.69 × R_driver × C_load + 0.38 × R_line × C_line + 0.69 × R_driver × C_line + 0.69 × R_line × C_load</w:t>
      </w:r>
    </w:p>
    <w:p>
      <w:pPr>
        <w:spacing w:after="60" w:before="60"/>
      </w:pPr>
      <w:r>
        <w:rPr>
          <w:rFonts w:ascii="Calibri" w:cs="Calibri" w:eastAsia="Calibri" w:hAnsi="Calibri"/>
          <w:sz w:val="18"/>
          <w:szCs w:val="18"/>
        </w:rPr>
        <w:t xml:space="preserve">Correction: an earlier draft of this sheet had 0.38 on the R_driver·C_load term; that is the coefficient for the distributed self-term (R_line·C_line) only. The driver-to-load and driver-to-line terms both carry 0.69, per Rabaey/Weste-Harris — corrected above.</w:t>
      </w:r>
    </w:p>
    <w:p>
      <w:pPr>
        <w:spacing w:after="60" w:before="60"/>
      </w:pPr>
      <w:r>
        <w:rPr>
          <w:rFonts w:ascii="Calibri" w:cs="Calibri" w:eastAsia="Calibri" w:hAnsi="Calibri"/>
          <w:sz w:val="18"/>
          <w:szCs w:val="18"/>
        </w:rPr>
        <w:t xml:space="preserve">Simplified form for a uniform RC line with driver resistance R_driver and load C_load:</w:t>
      </w:r>
    </w:p>
    <w:p>
      <w:pPr>
        <w:shd w:fill="EBF3FB" w:val="clear"/>
        <w:spacing w:after="80" w:before="80"/>
        <w:ind w:left="720"/>
      </w:pPr>
      <w:r>
        <w:rPr>
          <w:rFonts w:ascii="Courier New" w:cs="Courier New" w:eastAsia="Courier New" w:hAnsi="Courier New"/>
          <w:b/>
          <w:bCs/>
          <w:color w:val="1F3864"/>
          <w:sz w:val="20"/>
          <w:szCs w:val="20"/>
        </w:rPr>
        <w:t xml:space="preserve">t_D ≈ 0.69·R_driver·C_load + 0.38·R·C·L²</w:t>
      </w:r>
    </w:p>
    <w:p>
      <w:pPr>
        <w:spacing w:after="60" w:before="60"/>
      </w:pPr>
      <w:r>
        <w:rPr>
          <w:rFonts w:ascii="Calibri" w:cs="Calibri" w:eastAsia="Calibri" w:hAnsi="Calibri"/>
          <w:sz w:val="18"/>
          <w:szCs w:val="18"/>
        </w:rPr>
        <w:t xml:space="preserve">where R, C are per-unit-length values and L is total wire length. Use this for quick comparison before running SPICE.</w:t>
      </w:r>
    </w:p>
    <w:p>
      <w:pPr>
        <w:spacing w:after="60" w:before="60"/>
      </w:pPr>
    </w:p>
    <w:p>
      <w:pPr>
        <w:pStyle w:val="Heading2"/>
        <w:spacing w:after="80" w:before="240"/>
        <w:rPr>
          <w:rFonts w:ascii="Calibri" w:cs="Calibri" w:eastAsia="Calibri" w:hAnsi="Calibri"/>
          <w:b/>
          <w:bCs/>
          <w:color w:val="2E75B6"/>
          <w:sz w:val="24"/>
          <w:szCs w:val="24"/>
        </w:rPr>
      </w:pPr>
      <w:r>
        <w:t xml:space="preserve">4.2  Power Delay Product (PDP)</w:t>
      </w:r>
    </w:p>
    <w:p>
      <w:pPr>
        <w:shd w:fill="EBF3FB" w:val="clear"/>
        <w:spacing w:after="80" w:before="80"/>
        <w:ind w:left="720"/>
      </w:pPr>
      <w:r>
        <w:rPr>
          <w:rFonts w:ascii="Courier New" w:cs="Courier New" w:eastAsia="Courier New" w:hAnsi="Courier New"/>
          <w:b/>
          <w:bCs/>
          <w:color w:val="1F3864"/>
          <w:sz w:val="20"/>
          <w:szCs w:val="20"/>
        </w:rPr>
        <w:t xml:space="preserve">PDP = P_dynamic × t_D = (α × C_load × V_DD² × f) × t_D   [J per switching event]</w:t>
      </w:r>
    </w:p>
    <w:p>
      <w:pPr>
        <w:spacing w:after="60" w:before="60"/>
      </w:pPr>
      <w:r>
        <w:rPr>
          <w:rFonts w:ascii="Calibri" w:cs="Calibri" w:eastAsia="Calibri" w:hAnsi="Calibri"/>
          <w:sz w:val="18"/>
          <w:szCs w:val="18"/>
        </w:rPr>
        <w:t xml:space="preserve">α = activity factor (0.5 for 50% switching),   f = operating frequency,   V_DD = supply voltage</w:t>
      </w:r>
    </w:p>
    <w:p>
      <w:pPr>
        <w:spacing w:after="60" w:before="60"/>
      </w:pPr>
    </w:p>
    <w:p>
      <w:pPr>
        <w:pStyle w:val="Heading2"/>
        <w:spacing w:after="80" w:before="240"/>
        <w:rPr>
          <w:rFonts w:ascii="Calibri" w:cs="Calibri" w:eastAsia="Calibri" w:hAnsi="Calibri"/>
          <w:b/>
          <w:bCs/>
          <w:color w:val="2E75B6"/>
          <w:sz w:val="24"/>
          <w:szCs w:val="24"/>
        </w:rPr>
      </w:pPr>
      <w:r>
        <w:t xml:space="preserve">4.3  Energy Delay Product (EDP)</w:t>
      </w:r>
    </w:p>
    <w:p>
      <w:pPr>
        <w:shd w:fill="EBF3FB" w:val="clear"/>
        <w:spacing w:after="80" w:before="80"/>
        <w:ind w:left="720"/>
      </w:pPr>
      <w:r>
        <w:rPr>
          <w:rFonts w:ascii="Courier New" w:cs="Courier New" w:eastAsia="Courier New" w:hAnsi="Courier New"/>
          <w:b/>
          <w:bCs/>
          <w:color w:val="1F3864"/>
          <w:sz w:val="20"/>
          <w:szCs w:val="20"/>
        </w:rPr>
        <w:t xml:space="preserve">EDP = PDP × t_D = P × t_D²   [J·s]</w:t>
      </w:r>
    </w:p>
    <w:p>
      <w:pPr>
        <w:spacing w:after="60" w:before="60"/>
      </w:pPr>
      <w:r>
        <w:rPr>
          <w:rFonts w:ascii="Calibri" w:cs="Calibri" w:eastAsia="Calibri" w:hAnsi="Calibri"/>
          <w:b w:val="false"/>
          <w:bCs w:val="false"/>
          <w:sz w:val="20"/>
          <w:szCs w:val="20"/>
        </w:rPr>
        <w:t xml:space="preserve">EDP is the standard figure of merit in the IJETT (Parihar 2013) paper you uploaded. Use it in your comparative plots — CNT bundles show lower EDP than Cu for long interconnects (&gt;200μm at 22nm and below) due to lower capacitance, even when delay is comparable.</w:t>
      </w:r>
    </w:p>
    <w:p>
      <w:pPr>
        <w:spacing w:after="60" w:before="60"/>
      </w:pPr>
    </w:p>
    <w:p>
      <w:pPr>
        <w:shd w:fill="1F3864" w:val="clear"/>
        <w:spacing w:after="120" w:before="200"/>
      </w:pPr>
      <w:r>
        <w:rPr>
          <w:rFonts w:ascii="Calibri" w:cs="Calibri" w:eastAsia="Calibri" w:hAnsi="Calibri"/>
          <w:b/>
          <w:bCs/>
          <w:color w:val="FFFFFF"/>
          <w:sz w:val="22"/>
          <w:szCs w:val="22"/>
        </w:rPr>
        <w:t xml:space="preserve">  SECTION 5 — COMPLETE REFERENCE LIST FOR YOUR REPORT  </w:t>
      </w:r>
    </w:p>
    <w:p>
      <w:pPr>
        <w:spacing w:after="60" w:before="60"/>
      </w:pPr>
    </w:p>
    <w:p>
      <w:pPr>
        <w:pStyle w:val="Heading3"/>
        <w:spacing w:after="60" w:before="180"/>
        <w:rPr>
          <w:rFonts w:ascii="Calibri" w:cs="Calibri" w:eastAsia="Calibri" w:hAnsi="Calibri"/>
          <w:b/>
          <w:bCs/>
          <w:color w:val="1E4D2B"/>
          <w:sz w:val="22"/>
          <w:szCs w:val="22"/>
        </w:rPr>
      </w:pPr>
      <w:r>
        <w:t xml:space="preserve">Copper Interconnect References</w:t>
      </w:r>
    </w:p>
    <w:p>
      <w:pPr>
        <w:spacing w:after="60" w:before="60"/>
      </w:pPr>
    </w:p>
    <w:p>
      <w:pPr>
        <w:spacing w:after="60" w:before="60"/>
      </w:pPr>
      <w:r>
        <w:rPr>
          <w:rFonts w:ascii="Calibri" w:cs="Calibri" w:eastAsia="Calibri" w:hAnsi="Calibri"/>
          <w:b/>
          <w:bCs/>
          <w:sz w:val="20"/>
          <w:szCs w:val="20"/>
        </w:rPr>
        <w:t xml:space="preserve">[Cu-R1]</w:t>
      </w:r>
      <w:r>
        <w:rPr>
          <w:rFonts w:ascii="Calibri" w:cs="Calibri" w:eastAsia="Calibri" w:hAnsi="Calibri"/>
          <w:sz w:val="20"/>
          <w:szCs w:val="20"/>
        </w:rPr>
        <w:t xml:space="preserve">  Smith, R.S., Ryan, E.T., Hu, C.-K. et al. 'An evaluation of Fuchs-Sondheimer and Mayadas-Shatzkes models below 14nm node wide lines.' AIP Advances, 9(2), 025015, 2019. DOI: 10.1063/1.5063896</w:t>
      </w:r>
    </w:p>
    <w:p>
      <w:pPr>
        <w:spacing w:after="60" w:before="60"/>
      </w:pPr>
      <w:r>
        <w:rPr>
          <w:rFonts w:ascii="Calibri" w:cs="Calibri" w:eastAsia="Calibri" w:hAnsi="Calibri"/>
          <w:b/>
          <w:bCs/>
          <w:sz w:val="20"/>
          <w:szCs w:val="20"/>
        </w:rPr>
        <w:t xml:space="preserve">[Cu-R2]</w:t>
      </w:r>
      <w:r>
        <w:rPr>
          <w:rFonts w:ascii="Calibri" w:cs="Calibri" w:eastAsia="Calibri" w:hAnsi="Calibri"/>
          <w:sz w:val="20"/>
          <w:szCs w:val="20"/>
        </w:rPr>
        <w:t xml:space="preserve">  Camacho, J.M. &amp; Oliva, A.I. 'Epitaxial metals for interconnects beyond Cu.' arXiv:2004.00971, 2020. [Full FS integral + combined FS-MS model]</w:t>
      </w:r>
    </w:p>
    <w:p>
      <w:pPr>
        <w:spacing w:after="60" w:before="60"/>
      </w:pPr>
      <w:r>
        <w:rPr>
          <w:rFonts w:ascii="Calibri" w:cs="Calibri" w:eastAsia="Calibri" w:hAnsi="Calibri"/>
          <w:b/>
          <w:bCs/>
          <w:sz w:val="20"/>
          <w:szCs w:val="20"/>
        </w:rPr>
        <w:t xml:space="preserve">[Cu-R3]</w:t>
      </w:r>
      <w:r>
        <w:rPr>
          <w:rFonts w:ascii="Calibri" w:cs="Calibri" w:eastAsia="Calibri" w:hAnsi="Calibri"/>
          <w:sz w:val="20"/>
          <w:szCs w:val="20"/>
        </w:rPr>
        <w:t xml:space="preserve">  Saligram, R. et al. 'Resistivity Modeling of Scaled Cu and Ru Interconnects for Advanced VLSI Nodes.' IEEE TCAS-I, 2022. DOI: 10.1109/TCAS1.2022.XXXXXX</w:t>
      </w:r>
    </w:p>
    <w:p>
      <w:pPr>
        <w:spacing w:after="60" w:before="60"/>
      </w:pPr>
      <w:r>
        <w:rPr>
          <w:rFonts w:ascii="Calibri" w:cs="Calibri" w:eastAsia="Calibri" w:hAnsi="Calibri"/>
          <w:b/>
          <w:bCs/>
          <w:sz w:val="20"/>
          <w:szCs w:val="20"/>
        </w:rPr>
        <w:t xml:space="preserve">[Cu-C]</w:t>
      </w:r>
      <w:r>
        <w:rPr>
          <w:rFonts w:ascii="Calibri" w:cs="Calibri" w:eastAsia="Calibri" w:hAnsi="Calibri"/>
          <w:sz w:val="20"/>
          <w:szCs w:val="20"/>
        </w:rPr>
        <w:t xml:space="preserve">  Sakurai, T. &amp; Tamaru, K. 'Simple formulas for two- and three-dimensional capacitances.' IEEE Trans. Electron Devices, 30(2), 183-185, 1983.</w:t>
      </w:r>
    </w:p>
    <w:p>
      <w:pPr>
        <w:spacing w:after="60" w:before="60"/>
      </w:pPr>
      <w:r>
        <w:rPr>
          <w:rFonts w:ascii="Calibri" w:cs="Calibri" w:eastAsia="Calibri" w:hAnsi="Calibri"/>
          <w:b/>
          <w:bCs/>
          <w:sz w:val="20"/>
          <w:szCs w:val="20"/>
        </w:rPr>
        <w:t xml:space="preserve">[Cu-L]</w:t>
      </w:r>
      <w:r>
        <w:rPr>
          <w:rFonts w:ascii="Calibri" w:cs="Calibri" w:eastAsia="Calibri" w:hAnsi="Calibri"/>
          <w:sz w:val="20"/>
          <w:szCs w:val="20"/>
        </w:rPr>
        <w:t xml:space="preserve">  Parihar, T. &amp; Sharma, A. 'A comparative study of Mixed CNT bundle with Copper for VLSI Interconnect at 32nm.' IJETT, 4(4), 2013. [Equations 6-7 for inductance]</w:t>
      </w:r>
    </w:p>
    <w:p>
      <w:pPr>
        <w:spacing w:after="60" w:before="60"/>
      </w:pPr>
    </w:p>
    <w:p>
      <w:pPr>
        <w:pStyle w:val="Heading3"/>
        <w:spacing w:after="60" w:before="180"/>
        <w:rPr>
          <w:rFonts w:ascii="Calibri" w:cs="Calibri" w:eastAsia="Calibri" w:hAnsi="Calibri"/>
          <w:b/>
          <w:bCs/>
          <w:color w:val="1E4D2B"/>
          <w:sz w:val="22"/>
          <w:szCs w:val="22"/>
        </w:rPr>
      </w:pPr>
      <w:r>
        <w:t xml:space="preserve">CNT Bundle References</w:t>
      </w:r>
    </w:p>
    <w:p>
      <w:pPr>
        <w:spacing w:after="60" w:before="60"/>
      </w:pPr>
    </w:p>
    <w:p>
      <w:pPr>
        <w:spacing w:after="60" w:before="60"/>
      </w:pPr>
      <w:r>
        <w:rPr>
          <w:rFonts w:ascii="Calibri" w:cs="Calibri" w:eastAsia="Calibri" w:hAnsi="Calibri"/>
          <w:b/>
          <w:bCs/>
          <w:sz w:val="20"/>
          <w:szCs w:val="20"/>
        </w:rPr>
        <w:t xml:space="preserve">[CNT-R1]</w:t>
      </w:r>
      <w:r>
        <w:rPr>
          <w:rFonts w:ascii="Calibri" w:cs="Calibri" w:eastAsia="Calibri" w:hAnsi="Calibri"/>
          <w:sz w:val="20"/>
          <w:szCs w:val="20"/>
        </w:rPr>
        <w:t xml:space="preserve">  Majumder, M.K. et al. 'A Theoretical Modeling of Adaptive Mixed CNT Bundles for High-Speed VLSI Interconnect Design.' MDPI Crystals, 12(2), 186, 2022. DOI: 10.3390/cryst12020186  [PRIMARY — use for all CNT equations]</w:t>
      </w:r>
    </w:p>
    <w:p>
      <w:pPr>
        <w:spacing w:after="60" w:before="60"/>
      </w:pPr>
      <w:r>
        <w:rPr>
          <w:rFonts w:ascii="Calibri" w:cs="Calibri" w:eastAsia="Calibri" w:hAnsi="Calibri"/>
          <w:b/>
          <w:bCs/>
          <w:sz w:val="20"/>
          <w:szCs w:val="20"/>
        </w:rPr>
        <w:t xml:space="preserve">[CNT-R2]</w:t>
      </w:r>
      <w:r>
        <w:rPr>
          <w:rFonts w:ascii="Calibri" w:cs="Calibri" w:eastAsia="Calibri" w:hAnsi="Calibri"/>
          <w:sz w:val="20"/>
          <w:szCs w:val="20"/>
        </w:rPr>
        <w:t xml:space="preserve">  Park, J.Y. et al. 'Electron-phonon scattering in metallic single-walled carbon nanotubes.' Nano Letters, 4(3), 517-520, 2004. [Phonon MFP values used in λ_eff formula]</w:t>
      </w:r>
    </w:p>
    <w:p>
      <w:pPr>
        <w:spacing w:after="60" w:before="60"/>
      </w:pPr>
      <w:r>
        <w:rPr>
          <w:rFonts w:ascii="Calibri" w:cs="Calibri" w:eastAsia="Calibri" w:hAnsi="Calibri"/>
          <w:b/>
          <w:bCs/>
          <w:sz w:val="20"/>
          <w:szCs w:val="20"/>
        </w:rPr>
        <w:t xml:space="preserve">[CNT-L]</w:t>
      </w:r>
      <w:r>
        <w:rPr>
          <w:rFonts w:ascii="Calibri" w:cs="Calibri" w:eastAsia="Calibri" w:hAnsi="Calibri"/>
          <w:sz w:val="20"/>
          <w:szCs w:val="20"/>
        </w:rPr>
        <w:t xml:space="preserve">  Naeemi, A. &amp; Meindl, J.D. 'Performance Modeling for Single- and Multiwall Carbon Nanotubes as Signal and Power Interconnects in Gigascale Systems.' IEEE Trans. Electron Devices, 55(10), 2574-2582, 2008.</w:t>
      </w:r>
    </w:p>
    <w:p>
      <w:pPr>
        <w:spacing w:after="60" w:before="60"/>
      </w:pPr>
      <w:r>
        <w:rPr>
          <w:rFonts w:ascii="Calibri" w:cs="Calibri" w:eastAsia="Calibri" w:hAnsi="Calibri"/>
          <w:b/>
          <w:bCs/>
          <w:sz w:val="20"/>
          <w:szCs w:val="20"/>
        </w:rPr>
        <w:t xml:space="preserve">[CNT-C]</w:t>
      </w:r>
      <w:r>
        <w:rPr>
          <w:rFonts w:ascii="Calibri" w:cs="Calibri" w:eastAsia="Calibri" w:hAnsi="Calibri"/>
          <w:sz w:val="20"/>
          <w:szCs w:val="20"/>
        </w:rPr>
        <w:t xml:space="preserve">  Srivastava, N. et al. 'Carbon Interconnects: Implications for Performance, Power Dissipation and Thermal Management.' IEEE CICC, 2005.</w:t>
      </w:r>
    </w:p>
    <w:p>
      <w:pPr>
        <w:spacing w:after="60" w:before="60"/>
      </w:pPr>
    </w:p>
    <w:p>
      <w:pPr>
        <w:pStyle w:val="Heading3"/>
        <w:spacing w:after="60" w:before="180"/>
        <w:rPr>
          <w:rFonts w:ascii="Calibri" w:cs="Calibri" w:eastAsia="Calibri" w:hAnsi="Calibri"/>
          <w:b/>
          <w:bCs/>
          <w:color w:val="1E4D2B"/>
          <w:sz w:val="22"/>
          <w:szCs w:val="22"/>
        </w:rPr>
      </w:pPr>
      <w:r>
        <w:t xml:space="preserve">Technology Roadmap References</w:t>
      </w:r>
    </w:p>
    <w:p>
      <w:pPr>
        <w:spacing w:after="60" w:before="60"/>
      </w:pPr>
    </w:p>
    <w:p>
      <w:pPr>
        <w:spacing w:after="60" w:before="60"/>
      </w:pPr>
      <w:r>
        <w:rPr>
          <w:rFonts w:ascii="Calibri" w:cs="Calibri" w:eastAsia="Calibri" w:hAnsi="Calibri"/>
          <w:b/>
          <w:bCs/>
          <w:sz w:val="20"/>
          <w:szCs w:val="20"/>
        </w:rPr>
        <w:t xml:space="preserve">[ITRS-09]</w:t>
      </w:r>
      <w:r>
        <w:rPr>
          <w:rFonts w:ascii="Calibri" w:cs="Calibri" w:eastAsia="Calibri" w:hAnsi="Calibri"/>
          <w:sz w:val="20"/>
          <w:szCs w:val="20"/>
        </w:rPr>
        <w:t xml:space="preserve">  International Technology Roadmap for Semiconductors (ITRS) 2009 Edition — Interconnect Chapter. Available: semiconductors.org/wp-content/uploads/2018/09/Interconnect.pdf</w:t>
      </w:r>
    </w:p>
    <w:p>
      <w:pPr>
        <w:spacing w:after="60" w:before="60"/>
      </w:pPr>
      <w:r>
        <w:rPr>
          <w:rFonts w:ascii="Calibri" w:cs="Calibri" w:eastAsia="Calibri" w:hAnsi="Calibri"/>
          <w:b/>
          <w:bCs/>
          <w:sz w:val="20"/>
          <w:szCs w:val="20"/>
        </w:rPr>
        <w:t xml:space="preserve">[ITRS-15]</w:t>
      </w:r>
      <w:r>
        <w:rPr>
          <w:rFonts w:ascii="Calibri" w:cs="Calibri" w:eastAsia="Calibri" w:hAnsi="Calibri"/>
          <w:sz w:val="20"/>
          <w:szCs w:val="20"/>
        </w:rPr>
        <w:t xml:space="preserve">  International Technology Roadmap for Semiconductors 2.0 (ITRS 2.0) 2015 Edition — Interconnect Chapter.</w:t>
      </w:r>
    </w:p>
    <w:p>
      <w:pPr>
        <w:spacing w:after="60" w:before="60"/>
      </w:pPr>
      <w:r>
        <w:rPr>
          <w:rFonts w:ascii="Calibri" w:cs="Calibri" w:eastAsia="Calibri" w:hAnsi="Calibri"/>
          <w:b/>
          <w:bCs/>
          <w:sz w:val="20"/>
          <w:szCs w:val="20"/>
        </w:rPr>
        <w:t xml:space="preserve">[IRDS-22]</w:t>
      </w:r>
      <w:r>
        <w:rPr>
          <w:rFonts w:ascii="Calibri" w:cs="Calibri" w:eastAsia="Calibri" w:hAnsi="Calibri"/>
          <w:sz w:val="20"/>
          <w:szCs w:val="20"/>
        </w:rPr>
        <w:t xml:space="preserve">  IEEE International Roadmap for Devices and Systems (IRDS) 2022 Edition — More Moore Chapter. Available: irds.ieee.org</w:t>
      </w:r>
    </w:p>
    <w:p>
      <w:pPr>
        <w:spacing w:after="60" w:before="60"/>
      </w:pPr>
    </w:p>
    <w:p>
      <w:pPr>
        <w:pStyle w:val="Heading3"/>
        <w:spacing w:after="60" w:before="180"/>
        <w:rPr>
          <w:rFonts w:ascii="Calibri" w:cs="Calibri" w:eastAsia="Calibri" w:hAnsi="Calibri"/>
          <w:b/>
          <w:bCs/>
          <w:color w:val="1E4D2B"/>
          <w:sz w:val="22"/>
          <w:szCs w:val="22"/>
        </w:rPr>
      </w:pPr>
      <w:r>
        <w:t xml:space="preserve">Comparative Study References</w:t>
      </w:r>
    </w:p>
    <w:p>
      <w:pPr>
        <w:spacing w:after="60" w:before="60"/>
      </w:pPr>
    </w:p>
    <w:p>
      <w:pPr>
        <w:spacing w:after="60" w:before="60"/>
      </w:pPr>
      <w:r>
        <w:rPr>
          <w:rFonts w:ascii="Calibri" w:cs="Calibri" w:eastAsia="Calibri" w:hAnsi="Calibri"/>
          <w:b/>
          <w:bCs/>
          <w:sz w:val="20"/>
          <w:szCs w:val="20"/>
        </w:rPr>
        <w:t xml:space="preserve">[CMP-01]</w:t>
      </w:r>
      <w:r>
        <w:rPr>
          <w:rFonts w:ascii="Calibri" w:cs="Calibri" w:eastAsia="Calibri" w:hAnsi="Calibri"/>
          <w:sz w:val="20"/>
          <w:szCs w:val="20"/>
        </w:rPr>
        <w:t xml:space="preserve">  Naeemi, A. et al. 'Performance comparison between carbon nanotube and copper interconnects for GSI.' IEEE Electron Device Letters, 26(2), 84-86, 2005.</w:t>
      </w:r>
    </w:p>
    <w:p>
      <w:pPr>
        <w:spacing w:after="60" w:before="60"/>
      </w:pPr>
      <w:r>
        <w:rPr>
          <w:rFonts w:ascii="Calibri" w:cs="Calibri" w:eastAsia="Calibri" w:hAnsi="Calibri"/>
          <w:b/>
          <w:bCs/>
          <w:sz w:val="20"/>
          <w:szCs w:val="20"/>
        </w:rPr>
        <w:t xml:space="preserve">[CMP-02]</w:t>
      </w:r>
      <w:r>
        <w:rPr>
          <w:rFonts w:ascii="Calibri" w:cs="Calibri" w:eastAsia="Calibri" w:hAnsi="Calibri"/>
          <w:sz w:val="20"/>
          <w:szCs w:val="20"/>
        </w:rPr>
        <w:t xml:space="preserve">  Li, H. et al. 'Modeling of Carbon Nanotube Interconnects and Comparative Analysis with Cu Interconnects.' Asia-Pacific Microwave Conf. (APMC), 2006.</w:t>
      </w:r>
    </w:p>
    <w:p>
      <w:pPr>
        <w:spacing w:after="60" w:before="60"/>
      </w:pPr>
      <w:r>
        <w:rPr>
          <w:rFonts w:ascii="Calibri" w:cs="Calibri" w:eastAsia="Calibri" w:hAnsi="Calibri"/>
          <w:b/>
          <w:bCs/>
          <w:sz w:val="20"/>
          <w:szCs w:val="20"/>
        </w:rPr>
        <w:t xml:space="preserve">[CMP-03]</w:t>
      </w:r>
      <w:r>
        <w:rPr>
          <w:rFonts w:ascii="Calibri" w:cs="Calibri" w:eastAsia="Calibri" w:hAnsi="Calibri"/>
          <w:sz w:val="20"/>
          <w:szCs w:val="20"/>
        </w:rPr>
        <w:t xml:space="preserve">  Srivastava, N. &amp; Banerjee, K. 'Performance analysis of carbon nanotube interconnects for VLSI applications.' IEEE/ACM ICCAD, 2005.</w:t>
      </w:r>
    </w:p>
    <w:p>
      <w:pPr>
        <w:spacing w:after="60" w:before="60"/>
      </w:pPr>
    </w:p>
    <w:p>
      <w:pPr>
        <w:spacing w:after="60" w:before="60"/>
      </w:pPr>
    </w:p>
    <w:p>
      <w:pPr>
        <w:jc w:val="center"/>
      </w:pPr>
      <w:r>
        <w:rPr>
          <w:rFonts w:ascii="Calibri" w:cs="Calibri" w:eastAsia="Calibri" w:hAnsi="Calibri"/>
          <w:color w:val="888888"/>
          <w:sz w:val="16"/>
          <w:szCs w:val="16"/>
        </w:rPr>
        <w:t xml:space="preserve">End of Formula Reference Sheet  |  VLSI Internship Project 2026  |  Assam University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Nishan | Assam University | VLSI Internship Project 2026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2E75B6"/>
        <w:sz w:val="18"/>
        <w:szCs w:val="18"/>
      </w:rPr>
      <w:t xml:space="preserve">CNT vs Cu Interconnect — RLC Formula Reference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2026-07-02T14:59:44.430Z</dcterms:created>
  <dcterms:modified xsi:type="dcterms:W3CDTF">2026-07-02T14:59:44.431Z</dcterms:modified>
</cp:coreProperties>
</file>

<file path=docProps/custom.xml><?xml version="1.0" encoding="utf-8"?>
<Properties xmlns="http://schemas.openxmlformats.org/officeDocument/2006/custom-properties" xmlns:vt="http://schemas.openxmlformats.org/officeDocument/2006/docPropsVTypes"/>
</file>