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A1283" w14:textId="5AEE64EF" w:rsidR="00E018DA" w:rsidRPr="00E018DA" w:rsidRDefault="004806B1" w:rsidP="00E018DA">
      <w:pPr>
        <w:shd w:val="clear" w:color="auto" w:fill="FFFFFF"/>
        <w:spacing w:after="150" w:line="330" w:lineRule="atLeast"/>
        <w:outlineLvl w:val="0"/>
        <w:rPr>
          <w:rFonts w:ascii="PT Sans" w:eastAsia="Times New Roman" w:hAnsi="PT Sans" w:cs="Times New Roman"/>
          <w:b/>
          <w:bCs/>
          <w:color w:val="333333"/>
          <w:kern w:val="36"/>
          <w:sz w:val="33"/>
          <w:szCs w:val="33"/>
          <w:lang w:eastAsia="ru-RU"/>
        </w:rPr>
      </w:pPr>
      <w:r>
        <w:rPr>
          <w:rFonts w:ascii="PT Sans" w:eastAsia="Times New Roman" w:hAnsi="PT Sans" w:cs="Times New Roman"/>
          <w:b/>
          <w:bCs/>
          <w:color w:val="333333"/>
          <w:kern w:val="36"/>
          <w:sz w:val="33"/>
          <w:szCs w:val="33"/>
          <w:lang w:val="en-US" w:eastAsia="ru-RU"/>
        </w:rPr>
        <w:t>Goal</w:t>
      </w:r>
      <w:r w:rsidR="00E018DA" w:rsidRPr="00E018DA">
        <w:rPr>
          <w:rFonts w:ascii="PT Sans" w:eastAsia="Times New Roman" w:hAnsi="PT Sans" w:cs="Times New Roman"/>
          <w:b/>
          <w:bCs/>
          <w:color w:val="333333"/>
          <w:kern w:val="36"/>
          <w:sz w:val="33"/>
          <w:szCs w:val="33"/>
          <w:lang w:eastAsia="ru-RU"/>
        </w:rPr>
        <w:t xml:space="preserve"> 480 SC 250 мл ДОУ НА СОРНЯКИ</w:t>
      </w:r>
    </w:p>
    <w:p w14:paraId="6E712D81" w14:textId="77777777" w:rsidR="00E018DA" w:rsidRPr="00E018DA" w:rsidRDefault="00E018DA" w:rsidP="00E018D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</w:pPr>
      <w:r w:rsidRPr="00E018DA">
        <w:rPr>
          <w:rFonts w:ascii="PT Sans" w:eastAsia="Times New Roman" w:hAnsi="PT Sans" w:cs="Times New Roman"/>
          <w:b/>
          <w:bCs/>
          <w:color w:val="333333"/>
          <w:sz w:val="21"/>
          <w:szCs w:val="21"/>
          <w:lang w:eastAsia="ru-RU"/>
        </w:rPr>
        <w:t>Goal 480 SC</w:t>
      </w:r>
      <w:r w:rsidRPr="00E018DA"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  <w:t> - гербицид, концентрат в виде концентрированной суспензии для разбавления водой, используемый при внекорневой подкормке для борьбы с сорняками (в основном двудольными) в луке, выращенном после посева.</w:t>
      </w:r>
    </w:p>
    <w:p w14:paraId="23619BC8" w14:textId="77777777" w:rsidR="00E018DA" w:rsidRPr="00E018DA" w:rsidRDefault="00E018DA" w:rsidP="00E018D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</w:pPr>
      <w:r w:rsidRPr="00E018DA">
        <w:rPr>
          <w:rFonts w:ascii="PT Sans" w:eastAsia="Times New Roman" w:hAnsi="PT Sans" w:cs="Times New Roman"/>
          <w:b/>
          <w:bCs/>
          <w:color w:val="333333"/>
          <w:sz w:val="21"/>
          <w:szCs w:val="21"/>
          <w:lang w:eastAsia="ru-RU"/>
        </w:rPr>
        <w:t>Тип средства:</w:t>
      </w:r>
      <w:r w:rsidRPr="00E018DA"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  <w:t> гербицид</w:t>
      </w:r>
    </w:p>
    <w:p w14:paraId="5E791CAA" w14:textId="403CEC2F" w:rsidR="00E018DA" w:rsidRPr="00E018DA" w:rsidRDefault="004806B1" w:rsidP="00E018DA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b/>
          <w:bCs/>
          <w:color w:val="333333"/>
          <w:sz w:val="21"/>
          <w:szCs w:val="21"/>
          <w:lang w:eastAsia="ru-RU"/>
        </w:rPr>
        <w:t>Действующее вещество</w:t>
      </w:r>
      <w:r w:rsidR="00E018DA" w:rsidRPr="00E018DA">
        <w:rPr>
          <w:rFonts w:ascii="PT Sans" w:eastAsia="Times New Roman" w:hAnsi="PT Sans" w:cs="Times New Roman"/>
          <w:b/>
          <w:bCs/>
          <w:color w:val="333333"/>
          <w:sz w:val="21"/>
          <w:szCs w:val="21"/>
          <w:lang w:eastAsia="ru-RU"/>
        </w:rPr>
        <w:t>:</w:t>
      </w:r>
      <w:r w:rsidR="00E018DA" w:rsidRPr="00E018DA"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  <w:t> оксифторофен - 480 г / л.</w:t>
      </w:r>
    </w:p>
    <w:p w14:paraId="0D2B8733" w14:textId="5C4552D2" w:rsidR="004806B1" w:rsidRPr="004806B1" w:rsidRDefault="00F579F0" w:rsidP="004806B1">
      <w:pPr>
        <w:shd w:val="clear" w:color="auto" w:fill="FFFFFF"/>
        <w:spacing w:after="150" w:line="240" w:lineRule="auto"/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</w:pPr>
      <w:r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  <w:t>Гербецид</w:t>
      </w:r>
      <w:r w:rsidR="00E018DA" w:rsidRPr="00E018DA">
        <w:rPr>
          <w:rFonts w:ascii="PT Sans" w:eastAsia="Times New Roman" w:hAnsi="PT Sans" w:cs="Times New Roman"/>
          <w:color w:val="333333"/>
          <w:sz w:val="21"/>
          <w:szCs w:val="21"/>
          <w:lang w:eastAsia="ru-RU"/>
        </w:rPr>
        <w:t xml:space="preserve"> следует использовать в смеси с масляными адъювантами (например, содержащими этерифицированное рапсовое масло) или синтетическими адъювантами, содержащими неионные поверхностно-активные вещества в дозах, рекомендованных для этих адъювантов.</w:t>
      </w:r>
    </w:p>
    <w:p w14:paraId="60ECA378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 </w:t>
      </w:r>
    </w:p>
    <w:p w14:paraId="71481B7E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b/>
          <w:bCs/>
          <w:spacing w:val="2"/>
          <w:sz w:val="24"/>
          <w:szCs w:val="24"/>
          <w:lang w:eastAsia="ru-RU"/>
        </w:rPr>
        <w:t>Способ применения:</w:t>
      </w:r>
    </w:p>
    <w:p w14:paraId="76539600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Во всех культурах продукт должен использоваться только с приложениями, в полосах вдоль рядов в период между последней декаде сентября и первой декаде мая.</w:t>
      </w:r>
    </w:p>
    <w:p w14:paraId="7FAE671F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 </w:t>
      </w:r>
    </w:p>
    <w:p w14:paraId="60B70A78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b/>
          <w:bCs/>
          <w:spacing w:val="2"/>
          <w:sz w:val="24"/>
          <w:szCs w:val="24"/>
          <w:lang w:eastAsia="ru-RU"/>
        </w:rPr>
        <w:t>ОРЕШНИК, ВИНОГРАД, СЕМЕЧКОВЫЕ ПЛОДЫ, КОСТОЧКОВЫЕ, АПЕЛЬСИН, ЛИМОН, ГРЕЙПФРУТ, ОЛИВКОВОЕ ДЕРЕВО:</w:t>
      </w:r>
    </w:p>
    <w:p w14:paraId="69198152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Использовать исключительно в полосах sottochioma вдоль строк.</w:t>
      </w:r>
    </w:p>
    <w:p w14:paraId="12831DEE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a) Pre-аварийные сорняков:</w:t>
      </w:r>
    </w:p>
    <w:p w14:paraId="4B1FDF98" w14:textId="51BDFC44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 xml:space="preserve">Осуществлять распределение </w:t>
      </w:r>
      <w:r w:rsidR="004806B1">
        <w:rPr>
          <w:rFonts w:ascii="Roboto" w:eastAsia="Times New Roman" w:hAnsi="Roboto" w:cs="Times New Roman"/>
          <w:spacing w:val="2"/>
          <w:sz w:val="24"/>
          <w:szCs w:val="24"/>
          <w:lang w:val="en-US" w:eastAsia="ru-RU"/>
        </w:rPr>
        <w:t>Goal</w:t>
      </w: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 xml:space="preserve"> 480 SC в конце осени-начале зимы или в конце зимы. Лучшие результаты достигаются, выступая на земле, свободной от сорняков или вредителей на ранних стадиях развития.</w:t>
      </w:r>
    </w:p>
    <w:p w14:paraId="20D1A389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b/>
          <w:bCs/>
          <w:spacing w:val="2"/>
          <w:sz w:val="24"/>
          <w:szCs w:val="24"/>
          <w:lang w:eastAsia="ru-RU"/>
        </w:rPr>
        <w:t>Дозы:</w:t>
      </w:r>
    </w:p>
    <w:p w14:paraId="257B8607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1-1,5 л/га поверхности, чтобы эффективно лечить.</w:t>
      </w:r>
    </w:p>
    <w:p w14:paraId="0ED18A6B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б) Пост-аварийный сорняков: в наличии однолетних сорняков или вредителей, менее чувствительны к глифосата, и в любом случае, чтобы увеличить скорость высыхания, особенно полезно в подготовке площадки для сбора, Goal 480 SC может быть использован в смеси с таким же глифосат или другие гербициды итоги столб-эмерджентности.</w:t>
      </w:r>
    </w:p>
    <w:p w14:paraId="17B7F67A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b/>
          <w:bCs/>
          <w:spacing w:val="2"/>
          <w:sz w:val="24"/>
          <w:szCs w:val="24"/>
          <w:lang w:eastAsia="ru-RU"/>
        </w:rPr>
        <w:t>Дозы:</w:t>
      </w: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 в случае смеси с глифосатом и другими системный гербицид общего применения Goal 480 SC в дозе 0,15-0,25 л/га поверхности, чтобы эффективно лечить.</w:t>
      </w:r>
    </w:p>
    <w:p w14:paraId="0777645D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 </w:t>
      </w:r>
    </w:p>
    <w:p w14:paraId="0A52068D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b/>
          <w:bCs/>
          <w:spacing w:val="2"/>
          <w:sz w:val="24"/>
          <w:szCs w:val="24"/>
          <w:lang w:eastAsia="ru-RU"/>
        </w:rPr>
        <w:t>Предупреждение: </w:t>
      </w: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для орешника, лозы, оливковые и цитрусовые, используют Goal 480 SC, в полной дозе и в смеси, начиная со второго года посадки, распределяя продукт во время периода покоя (до 20 дней до начала бутонизации). Для семечковых плодов и косточковых использовать Goal 480 SC, только в полной дозы, только во время периода покоя (до 20 дней до бутонизации). Это указание относится также и для молодых растений, только если сделаны с аукциона. В случае посадки с байонетом вблизи земли продукт может быть использован, начиная со второго года вегетации. Гол 480 SC, в уменьшенной дозе в смеси с глифосатом и других продуктов, системных, идет работник в период покоя (до 20 дней до бутонизации).</w:t>
      </w:r>
    </w:p>
    <w:p w14:paraId="07D1FCA2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 </w:t>
      </w:r>
    </w:p>
    <w:p w14:paraId="1DD5892D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b/>
          <w:bCs/>
          <w:spacing w:val="2"/>
          <w:sz w:val="24"/>
          <w:szCs w:val="24"/>
          <w:lang w:eastAsia="ru-RU"/>
        </w:rPr>
        <w:t>ПОДСОЛНЕЧНИК:</w:t>
      </w:r>
    </w:p>
    <w:p w14:paraId="23FC5146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 xml:space="preserve">Goal 480 SC может быть использована на посевных культур в файл, по крайней мере, 70-75 см в ширину с приложений в диапазонах 25-30 см в ширину, </w:t>
      </w: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lastRenderedPageBreak/>
        <w:t>Вмешаться в предаварийном культуры в дозе 0,5 л/га поверхности, чтобы эффективно лечить. .Ливни после нанесения, на этапе экстренной культуры могут вызвать временные симптомы фитотоксичности на первых листьев не влияет на результаты выращивания.</w:t>
      </w:r>
    </w:p>
    <w:p w14:paraId="21C6C0AD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b/>
          <w:bCs/>
          <w:spacing w:val="2"/>
          <w:sz w:val="24"/>
          <w:szCs w:val="24"/>
          <w:lang w:eastAsia="ru-RU"/>
        </w:rPr>
        <w:t>АРТИШОК:</w:t>
      </w:r>
    </w:p>
    <w:p w14:paraId="60DA62F2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Использовать Goal 480 SC, только вдоль рядка культуры на диапазоне 25-30 см в ширину:</w:t>
      </w:r>
    </w:p>
    <w:p w14:paraId="3512BD4C" w14:textId="77777777" w:rsidR="00E018DA" w:rsidRPr="00E018DA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в) в предаварийном осенний артишока, когда заражение происходит на первых этапах фенологии (сразу после имплантации или реактивации культуры) в дозе 0,5-0,75 л/га поверхности, чтобы эффективно лечить;</w:t>
      </w:r>
    </w:p>
    <w:p w14:paraId="6854DF4A" w14:textId="1189EC52" w:rsidR="004632B0" w:rsidRPr="004806B1" w:rsidRDefault="00E018DA" w:rsidP="00E018DA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</w:pPr>
      <w:r w:rsidRPr="00E018DA">
        <w:rPr>
          <w:rFonts w:ascii="Roboto" w:eastAsia="Times New Roman" w:hAnsi="Roboto" w:cs="Times New Roman"/>
          <w:spacing w:val="2"/>
          <w:sz w:val="24"/>
          <w:szCs w:val="24"/>
          <w:lang w:eastAsia="ru-RU"/>
        </w:rPr>
        <w:t>б) в пост-аварийный зимний артишока, когда Кислица происходит на ранних стадиях фенологии в дозе 1-1,5 л/га поверхности, чтобы эффективно лечить Голов 480 SC. В тяжелых пост-чрезвычайных ситуаций, рекомендуется выполнить приложение безопасности артишок с возможностью экранировать и, избегая, однако, что решение гербицид быть в контакте с культурой.</w:t>
      </w:r>
    </w:p>
    <w:sectPr w:rsidR="004632B0" w:rsidRPr="00480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8DA"/>
    <w:rsid w:val="004632B0"/>
    <w:rsid w:val="004806B1"/>
    <w:rsid w:val="00E018DA"/>
    <w:rsid w:val="00F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C8C3"/>
  <w15:chartTrackingRefBased/>
  <w15:docId w15:val="{F289E630-B2EE-4249-8C2D-3A04C943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2021-09-16T11:01:00Z</dcterms:created>
  <dcterms:modified xsi:type="dcterms:W3CDTF">2021-09-20T10:40:00Z</dcterms:modified>
</cp:coreProperties>
</file>