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FDF7" w14:textId="77777777" w:rsidR="00605A25" w:rsidRPr="00C61037" w:rsidRDefault="00000000">
      <w:pPr>
        <w:spacing w:after="80"/>
        <w:rPr>
          <w:rFonts w:ascii="Calibri" w:hAnsi="Calibri" w:cs="Calibri"/>
        </w:rPr>
      </w:pPr>
      <w:r w:rsidRPr="00C61037">
        <w:rPr>
          <w:rFonts w:ascii="Calibri" w:hAnsi="Calibri" w:cs="Calibri"/>
          <w:b/>
          <w:color w:val="0F1C2E"/>
          <w:sz w:val="36"/>
        </w:rPr>
        <w:t>Cross-Domain Security &amp; Compliance Visibility Model</w:t>
      </w:r>
    </w:p>
    <w:p w14:paraId="332FD88E" w14:textId="77777777" w:rsidR="00605A25" w:rsidRPr="00C61037" w:rsidRDefault="00000000">
      <w:pPr>
        <w:spacing w:after="240"/>
        <w:rPr>
          <w:rFonts w:ascii="Calibri" w:hAnsi="Calibri" w:cs="Calibri"/>
        </w:rPr>
      </w:pPr>
      <w:r w:rsidRPr="00C61037">
        <w:rPr>
          <w:rFonts w:ascii="Calibri" w:hAnsi="Calibri" w:cs="Calibri"/>
          <w:color w:val="5C6F84"/>
          <w:sz w:val="21"/>
        </w:rPr>
        <w:t>Two-Phased Access Strategy: Immediate Purview/DLP/Insider Risk Role Assignment &amp; Phased URBAC Cutover Prior to March 31, 2027</w:t>
      </w:r>
    </w:p>
    <w:tbl>
      <w:tblPr>
        <w:tblW w:w="0" w:type="auto"/>
        <w:jc w:val="center"/>
        <w:tblLayout w:type="fixed"/>
        <w:tblLook w:val="04A0" w:firstRow="1" w:lastRow="0" w:firstColumn="1" w:lastColumn="0" w:noHBand="0" w:noVBand="1"/>
      </w:tblPr>
      <w:tblGrid>
        <w:gridCol w:w="4968"/>
        <w:gridCol w:w="4968"/>
      </w:tblGrid>
      <w:tr w:rsidR="00605A25" w:rsidRPr="00C61037" w14:paraId="3165C702" w14:textId="77777777">
        <w:trPr>
          <w:jc w:val="center"/>
        </w:trPr>
        <w:tc>
          <w:tcPr>
            <w:tcW w:w="4968" w:type="dxa"/>
            <w:shd w:val="clear" w:color="auto" w:fill="F4F7FA"/>
            <w:tcMar>
              <w:top w:w="80" w:type="dxa"/>
              <w:left w:w="120" w:type="dxa"/>
              <w:bottom w:w="80" w:type="dxa"/>
              <w:right w:w="120" w:type="dxa"/>
            </w:tcMar>
          </w:tcPr>
          <w:p w14:paraId="4D9381BF" w14:textId="42440DFE" w:rsidR="00605A25" w:rsidRPr="00C61037" w:rsidRDefault="00000000">
            <w:pPr>
              <w:spacing w:after="0"/>
              <w:rPr>
                <w:rFonts w:ascii="Calibri" w:hAnsi="Calibri" w:cs="Calibri"/>
                <w:szCs w:val="20"/>
              </w:rPr>
            </w:pPr>
            <w:r w:rsidRPr="00C61037">
              <w:rPr>
                <w:rFonts w:ascii="Calibri" w:hAnsi="Calibri" w:cs="Calibri"/>
                <w:b/>
                <w:color w:val="0F1C2E"/>
                <w:szCs w:val="20"/>
              </w:rPr>
              <w:t>Author:</w:t>
            </w:r>
            <w:r w:rsidRPr="00C61037">
              <w:rPr>
                <w:rFonts w:ascii="Calibri" w:hAnsi="Calibri" w:cs="Calibri"/>
                <w:szCs w:val="20"/>
              </w:rPr>
              <w:t xml:space="preserve"> </w:t>
            </w:r>
            <w:r w:rsidR="00C61037" w:rsidRPr="00C61037">
              <w:rPr>
                <w:rFonts w:ascii="Calibri" w:hAnsi="Calibri" w:cs="Calibri"/>
                <w:szCs w:val="20"/>
              </w:rPr>
              <w:t xml:space="preserve">Lumi Olotu </w:t>
            </w:r>
            <w:r w:rsidRPr="00C61037">
              <w:rPr>
                <w:rFonts w:ascii="Calibri" w:hAnsi="Calibri" w:cs="Calibri"/>
                <w:szCs w:val="20"/>
              </w:rPr>
              <w:t>/ Detection Engineering</w:t>
            </w:r>
          </w:p>
        </w:tc>
        <w:tc>
          <w:tcPr>
            <w:tcW w:w="4968" w:type="dxa"/>
            <w:shd w:val="clear" w:color="auto" w:fill="F4F7FA"/>
            <w:tcMar>
              <w:top w:w="80" w:type="dxa"/>
              <w:left w:w="120" w:type="dxa"/>
              <w:bottom w:w="80" w:type="dxa"/>
              <w:right w:w="120" w:type="dxa"/>
            </w:tcMar>
          </w:tcPr>
          <w:p w14:paraId="2EE56523" w14:textId="34D02D92" w:rsidR="00605A25" w:rsidRPr="00C61037" w:rsidRDefault="00000000">
            <w:pPr>
              <w:spacing w:after="0"/>
              <w:rPr>
                <w:rFonts w:ascii="Calibri" w:hAnsi="Calibri" w:cs="Calibri"/>
                <w:szCs w:val="20"/>
              </w:rPr>
            </w:pPr>
            <w:r w:rsidRPr="00C61037">
              <w:rPr>
                <w:rFonts w:ascii="Calibri" w:hAnsi="Calibri" w:cs="Calibri"/>
                <w:b/>
                <w:color w:val="0F1C2E"/>
                <w:szCs w:val="20"/>
              </w:rPr>
              <w:t>Target Audience:</w:t>
            </w:r>
            <w:r w:rsidRPr="00C61037">
              <w:rPr>
                <w:rFonts w:ascii="Calibri" w:hAnsi="Calibri" w:cs="Calibri"/>
                <w:szCs w:val="20"/>
              </w:rPr>
              <w:t xml:space="preserve"> CyberDefense </w:t>
            </w:r>
            <w:r w:rsidR="00C61037" w:rsidRPr="00C61037">
              <w:rPr>
                <w:rFonts w:ascii="Calibri" w:hAnsi="Calibri" w:cs="Calibri"/>
                <w:szCs w:val="20"/>
              </w:rPr>
              <w:t>Teams</w:t>
            </w:r>
            <w:r w:rsidRPr="00C61037">
              <w:rPr>
                <w:rFonts w:ascii="Calibri" w:hAnsi="Calibri" w:cs="Calibri"/>
                <w:szCs w:val="20"/>
              </w:rPr>
              <w:t>, Data Protection Team</w:t>
            </w:r>
          </w:p>
        </w:tc>
      </w:tr>
      <w:tr w:rsidR="00605A25" w:rsidRPr="00C61037" w14:paraId="2A88747B" w14:textId="77777777">
        <w:trPr>
          <w:jc w:val="center"/>
        </w:trPr>
        <w:tc>
          <w:tcPr>
            <w:tcW w:w="4968" w:type="dxa"/>
            <w:shd w:val="clear" w:color="auto" w:fill="F4F7FA"/>
            <w:tcMar>
              <w:top w:w="80" w:type="dxa"/>
              <w:left w:w="120" w:type="dxa"/>
              <w:bottom w:w="80" w:type="dxa"/>
              <w:right w:w="120" w:type="dxa"/>
            </w:tcMar>
          </w:tcPr>
          <w:p w14:paraId="289062A8" w14:textId="77777777" w:rsidR="00605A25" w:rsidRPr="00C61037" w:rsidRDefault="00000000">
            <w:pPr>
              <w:spacing w:after="0"/>
              <w:rPr>
                <w:rFonts w:ascii="Calibri" w:hAnsi="Calibri" w:cs="Calibri"/>
                <w:szCs w:val="20"/>
              </w:rPr>
            </w:pPr>
            <w:r w:rsidRPr="00C61037">
              <w:rPr>
                <w:rFonts w:ascii="Calibri" w:hAnsi="Calibri" w:cs="Calibri"/>
                <w:b/>
                <w:color w:val="0F1C2E"/>
                <w:szCs w:val="20"/>
              </w:rPr>
              <w:t>Framework Alignment:</w:t>
            </w:r>
            <w:r w:rsidRPr="00C61037">
              <w:rPr>
                <w:rFonts w:ascii="Calibri" w:hAnsi="Calibri" w:cs="Calibri"/>
                <w:szCs w:val="20"/>
              </w:rPr>
              <w:t xml:space="preserve"> Microsoft Zero Trust, Least Privilege &amp; PIM</w:t>
            </w:r>
          </w:p>
        </w:tc>
        <w:tc>
          <w:tcPr>
            <w:tcW w:w="4968" w:type="dxa"/>
            <w:shd w:val="clear" w:color="auto" w:fill="F4F7FA"/>
            <w:tcMar>
              <w:top w:w="80" w:type="dxa"/>
              <w:left w:w="120" w:type="dxa"/>
              <w:bottom w:w="80" w:type="dxa"/>
              <w:right w:w="120" w:type="dxa"/>
            </w:tcMar>
          </w:tcPr>
          <w:p w14:paraId="46259315" w14:textId="77777777" w:rsidR="00605A25" w:rsidRPr="00C61037" w:rsidRDefault="00000000">
            <w:pPr>
              <w:spacing w:after="0"/>
              <w:rPr>
                <w:rFonts w:ascii="Calibri" w:hAnsi="Calibri" w:cs="Calibri"/>
                <w:szCs w:val="20"/>
              </w:rPr>
            </w:pPr>
            <w:r w:rsidRPr="00C61037">
              <w:rPr>
                <w:rFonts w:ascii="Calibri" w:hAnsi="Calibri" w:cs="Calibri"/>
                <w:b/>
                <w:color w:val="0F1C2E"/>
                <w:szCs w:val="20"/>
              </w:rPr>
              <w:t>Status:</w:t>
            </w:r>
            <w:r w:rsidRPr="00C61037">
              <w:rPr>
                <w:rFonts w:ascii="Calibri" w:hAnsi="Calibri" w:cs="Calibri"/>
                <w:szCs w:val="20"/>
              </w:rPr>
              <w:t xml:space="preserve"> Executive Proposal &amp; Two-Phase Implementation Strategy</w:t>
            </w:r>
          </w:p>
        </w:tc>
      </w:tr>
    </w:tbl>
    <w:p w14:paraId="4FE96315" w14:textId="77777777" w:rsidR="00605A25" w:rsidRPr="00C61037" w:rsidRDefault="00605A25">
      <w:pPr>
        <w:spacing w:after="160"/>
        <w:rPr>
          <w:rFonts w:ascii="Calibri" w:hAnsi="Calibri" w:cs="Calibri"/>
        </w:rPr>
      </w:pPr>
    </w:p>
    <w:p w14:paraId="478AF2A5" w14:textId="77777777" w:rsidR="00605A25" w:rsidRPr="00C61037" w:rsidRDefault="00000000">
      <w:pPr>
        <w:keepNext/>
        <w:spacing w:before="280" w:after="120"/>
        <w:rPr>
          <w:rFonts w:ascii="Calibri" w:hAnsi="Calibri" w:cs="Calibri"/>
        </w:rPr>
      </w:pPr>
      <w:r w:rsidRPr="00C61037">
        <w:rPr>
          <w:rFonts w:ascii="Calibri" w:hAnsi="Calibri" w:cs="Calibri"/>
          <w:b/>
          <w:color w:val="0F1C2E"/>
          <w:sz w:val="24"/>
        </w:rPr>
        <w:t>1. EXECUTIVE SUMMARY &amp; PURPOSE</w:t>
      </w:r>
    </w:p>
    <w:p w14:paraId="388B91DD" w14:textId="288E5557" w:rsidR="00605A25" w:rsidRPr="00C61037" w:rsidRDefault="00000000" w:rsidP="00C61037">
      <w:pPr>
        <w:spacing w:after="120"/>
        <w:jc w:val="both"/>
        <w:rPr>
          <w:rFonts w:ascii="Calibri" w:hAnsi="Calibri" w:cs="Calibri"/>
        </w:rPr>
      </w:pPr>
      <w:r w:rsidRPr="00C61037">
        <w:rPr>
          <w:rFonts w:ascii="Calibri" w:hAnsi="Calibri" w:cs="Calibri"/>
        </w:rPr>
        <w:t>Modern Enterprise Threat Detection requires seamless end-to-end telemetry correlation across identity, endpoint, cloud workloads, and data governance layers. Currently,</w:t>
      </w:r>
      <w:r w:rsidR="00C61037" w:rsidRPr="00C61037">
        <w:rPr>
          <w:rFonts w:ascii="Calibri" w:hAnsi="Calibri" w:cs="Calibri"/>
        </w:rPr>
        <w:t xml:space="preserve"> the</w:t>
      </w:r>
      <w:r w:rsidRPr="00C61037">
        <w:rPr>
          <w:rFonts w:ascii="Calibri" w:hAnsi="Calibri" w:cs="Calibri"/>
        </w:rPr>
        <w:t xml:space="preserve"> </w:t>
      </w:r>
      <w:r w:rsidRPr="00C61037">
        <w:rPr>
          <w:rFonts w:ascii="Calibri" w:hAnsi="Calibri" w:cs="Calibri"/>
          <w:b/>
        </w:rPr>
        <w:t>Detection Engineering</w:t>
      </w:r>
      <w:r w:rsidR="00C61037" w:rsidRPr="00C61037">
        <w:rPr>
          <w:rFonts w:ascii="Calibri" w:hAnsi="Calibri" w:cs="Calibri"/>
          <w:b/>
        </w:rPr>
        <w:t xml:space="preserve"> team</w:t>
      </w:r>
      <w:r w:rsidRPr="00C61037">
        <w:rPr>
          <w:rFonts w:ascii="Calibri" w:hAnsi="Calibri" w:cs="Calibri"/>
        </w:rPr>
        <w:t xml:space="preserve"> holds administrative operational ownership over </w:t>
      </w:r>
      <w:r w:rsidRPr="00C61037">
        <w:rPr>
          <w:rFonts w:ascii="Calibri" w:hAnsi="Calibri" w:cs="Calibri"/>
          <w:b/>
        </w:rPr>
        <w:t>Microsoft Sentinel</w:t>
      </w:r>
      <w:r w:rsidRPr="00C61037">
        <w:rPr>
          <w:rFonts w:ascii="Calibri" w:hAnsi="Calibri" w:cs="Calibri"/>
        </w:rPr>
        <w:t xml:space="preserve"> but faces critical visibility gaps across </w:t>
      </w:r>
      <w:r w:rsidRPr="00C61037">
        <w:rPr>
          <w:rFonts w:ascii="Calibri" w:hAnsi="Calibri" w:cs="Calibri"/>
          <w:b/>
        </w:rPr>
        <w:t>Microsoft Purview</w:t>
      </w:r>
      <w:r w:rsidRPr="00C61037">
        <w:rPr>
          <w:rFonts w:ascii="Calibri" w:hAnsi="Calibri" w:cs="Calibri"/>
        </w:rPr>
        <w:t xml:space="preserve"> (Data Loss Prevention [DLP], Sensitive Information Types [SITs], and Insider Risk Management) as well as </w:t>
      </w:r>
      <w:r w:rsidRPr="00C61037">
        <w:rPr>
          <w:rFonts w:ascii="Calibri" w:hAnsi="Calibri" w:cs="Calibri"/>
          <w:b/>
        </w:rPr>
        <w:t>Microsoft Defender XDR</w:t>
      </w:r>
      <w:r w:rsidRPr="00C61037">
        <w:rPr>
          <w:rFonts w:ascii="Calibri" w:hAnsi="Calibri" w:cs="Calibri"/>
        </w:rPr>
        <w:t xml:space="preserve">. As a core function within the broader </w:t>
      </w:r>
      <w:r w:rsidRPr="00C61037">
        <w:rPr>
          <w:rFonts w:ascii="Calibri" w:hAnsi="Calibri" w:cs="Calibri"/>
          <w:b/>
        </w:rPr>
        <w:t>CyberDefense unit</w:t>
      </w:r>
      <w:r w:rsidRPr="00C61037">
        <w:rPr>
          <w:rFonts w:ascii="Calibri" w:hAnsi="Calibri" w:cs="Calibri"/>
        </w:rPr>
        <w:t>, Detection Engineering requires cross-stack telemetry to build high-fidelity correlation rules.</w:t>
      </w:r>
    </w:p>
    <w:p w14:paraId="5D6790AB" w14:textId="2B8D745B" w:rsidR="00605A25" w:rsidRPr="00C61037" w:rsidRDefault="00000000" w:rsidP="00C61037">
      <w:pPr>
        <w:spacing w:after="160"/>
        <w:jc w:val="both"/>
        <w:rPr>
          <w:rFonts w:ascii="Calibri" w:hAnsi="Calibri" w:cs="Calibri"/>
        </w:rPr>
      </w:pPr>
      <w:r w:rsidRPr="00C61037">
        <w:rPr>
          <w:rFonts w:ascii="Calibri" w:hAnsi="Calibri" w:cs="Calibri"/>
        </w:rPr>
        <w:t xml:space="preserve">To eliminate immediate detection blind spots while managing tenant-wide governance changes, this brief proposes a </w:t>
      </w:r>
      <w:r w:rsidRPr="00C61037">
        <w:rPr>
          <w:rFonts w:ascii="Calibri" w:hAnsi="Calibri" w:cs="Calibri"/>
          <w:b/>
        </w:rPr>
        <w:t>Two-Phased Access Strategy</w:t>
      </w:r>
      <w:r w:rsidRPr="00C61037">
        <w:rPr>
          <w:rFonts w:ascii="Calibri" w:hAnsi="Calibri" w:cs="Calibri"/>
        </w:rPr>
        <w:t xml:space="preserve"> utilizing Detection Engineering's </w:t>
      </w:r>
      <w:r w:rsidRPr="00C61037">
        <w:rPr>
          <w:rFonts w:ascii="Calibri" w:hAnsi="Calibri" w:cs="Calibri"/>
          <w:b/>
        </w:rPr>
        <w:t xml:space="preserve">existing Entra ID Security </w:t>
      </w:r>
      <w:r w:rsidR="00986FA2" w:rsidRPr="00C61037">
        <w:rPr>
          <w:rFonts w:ascii="Calibri" w:hAnsi="Calibri" w:cs="Calibri"/>
          <w:b/>
        </w:rPr>
        <w:t>Group</w:t>
      </w:r>
      <w:r w:rsidR="00986FA2" w:rsidRPr="00C61037">
        <w:rPr>
          <w:rFonts w:ascii="Calibri" w:hAnsi="Calibri" w:cs="Calibri"/>
        </w:rPr>
        <w:t>.</w:t>
      </w:r>
    </w:p>
    <w:p w14:paraId="6925D19A" w14:textId="77777777" w:rsidR="00605A25" w:rsidRPr="00C61037" w:rsidRDefault="00000000">
      <w:pPr>
        <w:pStyle w:val="ListBullet"/>
        <w:spacing w:after="60"/>
        <w:rPr>
          <w:rFonts w:ascii="Calibri" w:hAnsi="Calibri" w:cs="Calibri"/>
        </w:rPr>
      </w:pPr>
      <w:r w:rsidRPr="00C61037">
        <w:rPr>
          <w:rFonts w:ascii="Calibri" w:hAnsi="Calibri" w:cs="Calibri"/>
          <w:b/>
          <w:color w:val="0F1C2E"/>
        </w:rPr>
        <w:t xml:space="preserve">1. Immediate Action (Phase 1): </w:t>
      </w:r>
      <w:r w:rsidRPr="00C61037">
        <w:rPr>
          <w:rFonts w:ascii="Calibri" w:hAnsi="Calibri" w:cs="Calibri"/>
        </w:rPr>
        <w:t>Grant Detection Engineering immediate read-only access to Microsoft Purview, DLP, and Insider Risk Management role groups. This immediately unlocks data exfiltration and insider threat visibility with zero impact on Defender XDR permissions or other teams.</w:t>
      </w:r>
    </w:p>
    <w:p w14:paraId="6AE6E6D8" w14:textId="77777777" w:rsidR="00605A25" w:rsidRPr="00C61037" w:rsidRDefault="00000000">
      <w:pPr>
        <w:pStyle w:val="ListBullet"/>
        <w:spacing w:after="60"/>
        <w:rPr>
          <w:rFonts w:ascii="Calibri" w:hAnsi="Calibri" w:cs="Calibri"/>
        </w:rPr>
      </w:pPr>
      <w:r w:rsidRPr="00C61037">
        <w:rPr>
          <w:rFonts w:ascii="Calibri" w:hAnsi="Calibri" w:cs="Calibri"/>
          <w:b/>
          <w:color w:val="0F1C2E"/>
        </w:rPr>
        <w:t xml:space="preserve">2. Final Target Roadmap (Phase 2): </w:t>
      </w:r>
      <w:r w:rsidRPr="00C61037">
        <w:rPr>
          <w:rFonts w:ascii="Calibri" w:hAnsi="Calibri" w:cs="Calibri"/>
        </w:rPr>
        <w:t>Execute a comprehensive cross-team audit and migration roadmap to convert all CyberDefense unit legacy roles to Defender Unified RBAC (URBAC) prior to Microsoft's mandatory March 31, 2027 Azure Portal deprecation deadline.</w:t>
      </w:r>
    </w:p>
    <w:p w14:paraId="3732EDDF" w14:textId="77777777" w:rsidR="00605A25" w:rsidRPr="00C61037" w:rsidRDefault="00000000">
      <w:pPr>
        <w:keepNext/>
        <w:spacing w:before="280" w:after="120"/>
        <w:rPr>
          <w:rFonts w:ascii="Calibri" w:hAnsi="Calibri" w:cs="Calibri"/>
        </w:rPr>
      </w:pPr>
      <w:r w:rsidRPr="00C61037">
        <w:rPr>
          <w:rFonts w:ascii="Calibri" w:hAnsi="Calibri" w:cs="Calibri"/>
          <w:b/>
          <w:color w:val="0F1C2E"/>
          <w:sz w:val="24"/>
        </w:rPr>
        <w:t>2. CURRENT STATE ANALYSIS &amp; GAP ASSESSMENT</w:t>
      </w:r>
    </w:p>
    <w:p w14:paraId="37DC522A" w14:textId="748B811A" w:rsidR="00605A25" w:rsidRPr="00C61037" w:rsidRDefault="00000000" w:rsidP="00C61037">
      <w:pPr>
        <w:spacing w:after="160"/>
        <w:jc w:val="both"/>
        <w:rPr>
          <w:rFonts w:ascii="Calibri" w:hAnsi="Calibri" w:cs="Calibri"/>
        </w:rPr>
      </w:pPr>
      <w:r w:rsidRPr="00C61037">
        <w:rPr>
          <w:rFonts w:ascii="Calibri" w:hAnsi="Calibri" w:cs="Calibri"/>
        </w:rPr>
        <w:t xml:space="preserve">Detection Engineering currently operates under an eligible Just-In-Time (JIT) access model via </w:t>
      </w:r>
      <w:r w:rsidRPr="00C61037">
        <w:rPr>
          <w:rFonts w:ascii="Calibri" w:hAnsi="Calibri" w:cs="Calibri"/>
          <w:b/>
        </w:rPr>
        <w:t>Microsoft Entra Privileged Identity Management (PIM)</w:t>
      </w:r>
      <w:r w:rsidRPr="00C61037">
        <w:rPr>
          <w:rFonts w:ascii="Calibri" w:hAnsi="Calibri" w:cs="Calibri"/>
        </w:rPr>
        <w:t xml:space="preserve">. Members of Detection Engineering activate </w:t>
      </w:r>
      <w:r w:rsidR="00C61037" w:rsidRPr="00C61037">
        <w:rPr>
          <w:rFonts w:ascii="Calibri" w:hAnsi="Calibri" w:cs="Calibri"/>
        </w:rPr>
        <w:t xml:space="preserve">custom Azure roles which </w:t>
      </w:r>
      <w:r w:rsidR="00986FA2" w:rsidRPr="00C61037">
        <w:rPr>
          <w:rFonts w:ascii="Calibri" w:hAnsi="Calibri" w:cs="Calibri"/>
        </w:rPr>
        <w:t>include</w:t>
      </w:r>
      <w:r w:rsidR="00C61037" w:rsidRPr="00C61037">
        <w:rPr>
          <w:rFonts w:ascii="Calibri" w:hAnsi="Calibri" w:cs="Calibri"/>
        </w:rPr>
        <w:t xml:space="preserve"> </w:t>
      </w:r>
      <w:r w:rsidRPr="00C61037">
        <w:rPr>
          <w:rFonts w:ascii="Calibri" w:hAnsi="Calibri" w:cs="Calibri"/>
          <w:b/>
        </w:rPr>
        <w:t>Sentinel Contributor</w:t>
      </w:r>
      <w:r w:rsidRPr="00C61037">
        <w:rPr>
          <w:rFonts w:ascii="Calibri" w:hAnsi="Calibri" w:cs="Calibri"/>
        </w:rPr>
        <w:t xml:space="preserve"> and Entra ID </w:t>
      </w:r>
      <w:r w:rsidRPr="00C61037">
        <w:rPr>
          <w:rFonts w:ascii="Calibri" w:hAnsi="Calibri" w:cs="Calibri"/>
          <w:b/>
        </w:rPr>
        <w:t>Security Reader</w:t>
      </w:r>
      <w:r w:rsidRPr="00C61037">
        <w:rPr>
          <w:rFonts w:ascii="Calibri" w:hAnsi="Calibri" w:cs="Calibri"/>
        </w:rPr>
        <w:t xml:space="preserve"> </w:t>
      </w:r>
      <w:r w:rsidR="00986FA2" w:rsidRPr="00C61037">
        <w:rPr>
          <w:rFonts w:ascii="Calibri" w:hAnsi="Calibri" w:cs="Calibri"/>
        </w:rPr>
        <w:t>roles.</w:t>
      </w:r>
      <w:r w:rsidRPr="00C61037">
        <w:rPr>
          <w:rFonts w:ascii="Calibri" w:hAnsi="Calibri" w:cs="Calibri"/>
        </w:rPr>
        <w:t xml:space="preserve"> While this eliminates standing privileges, it creates severe operational friction due to RBAC scope boundaries.</w:t>
      </w:r>
    </w:p>
    <w:tbl>
      <w:tblPr>
        <w:tblW w:w="0" w:type="auto"/>
        <w:jc w:val="center"/>
        <w:tblBorders>
          <w:top w:val="single" w:sz="4" w:space="0" w:color="D8E2EC"/>
          <w:bottom w:val="single" w:sz="4" w:space="0" w:color="D8E2EC"/>
          <w:insideH w:val="single" w:sz="4" w:space="0" w:color="D8E2EC"/>
        </w:tblBorders>
        <w:tblLook w:val="04A0" w:firstRow="1" w:lastRow="0" w:firstColumn="1" w:lastColumn="0" w:noHBand="0" w:noVBand="1"/>
      </w:tblPr>
      <w:tblGrid>
        <w:gridCol w:w="2484"/>
        <w:gridCol w:w="2484"/>
        <w:gridCol w:w="2484"/>
        <w:gridCol w:w="2484"/>
      </w:tblGrid>
      <w:tr w:rsidR="00605A25" w:rsidRPr="00C61037" w14:paraId="6F262A6B" w14:textId="77777777">
        <w:trPr>
          <w:jc w:val="center"/>
        </w:trPr>
        <w:tc>
          <w:tcPr>
            <w:tcW w:w="2484" w:type="dxa"/>
            <w:shd w:val="clear" w:color="auto" w:fill="0F1C2E"/>
            <w:tcMar>
              <w:top w:w="100" w:type="dxa"/>
              <w:left w:w="100" w:type="dxa"/>
              <w:bottom w:w="100" w:type="dxa"/>
              <w:right w:w="100" w:type="dxa"/>
            </w:tcMar>
          </w:tcPr>
          <w:p w14:paraId="1A48DA0B" w14:textId="77777777" w:rsidR="00605A25" w:rsidRPr="00C61037" w:rsidRDefault="00000000">
            <w:pPr>
              <w:spacing w:after="0"/>
              <w:rPr>
                <w:rFonts w:ascii="Calibri" w:hAnsi="Calibri" w:cs="Calibri"/>
              </w:rPr>
            </w:pPr>
            <w:r w:rsidRPr="00C61037">
              <w:rPr>
                <w:rFonts w:ascii="Calibri" w:hAnsi="Calibri" w:cs="Calibri"/>
                <w:b/>
                <w:color w:val="FFFFFF"/>
                <w:sz w:val="17"/>
              </w:rPr>
              <w:t>Security Domain</w:t>
            </w:r>
          </w:p>
        </w:tc>
        <w:tc>
          <w:tcPr>
            <w:tcW w:w="2484" w:type="dxa"/>
            <w:shd w:val="clear" w:color="auto" w:fill="0F1C2E"/>
            <w:tcMar>
              <w:top w:w="100" w:type="dxa"/>
              <w:left w:w="100" w:type="dxa"/>
              <w:bottom w:w="100" w:type="dxa"/>
              <w:right w:w="100" w:type="dxa"/>
            </w:tcMar>
          </w:tcPr>
          <w:p w14:paraId="77E1A817" w14:textId="77777777" w:rsidR="00605A25" w:rsidRPr="00C61037" w:rsidRDefault="00000000">
            <w:pPr>
              <w:spacing w:after="0"/>
              <w:rPr>
                <w:rFonts w:ascii="Calibri" w:hAnsi="Calibri" w:cs="Calibri"/>
              </w:rPr>
            </w:pPr>
            <w:r w:rsidRPr="00C61037">
              <w:rPr>
                <w:rFonts w:ascii="Calibri" w:hAnsi="Calibri" w:cs="Calibri"/>
                <w:b/>
                <w:color w:val="FFFFFF"/>
                <w:sz w:val="17"/>
              </w:rPr>
              <w:t>Activated PIM Role</w:t>
            </w:r>
          </w:p>
        </w:tc>
        <w:tc>
          <w:tcPr>
            <w:tcW w:w="2484" w:type="dxa"/>
            <w:shd w:val="clear" w:color="auto" w:fill="0F1C2E"/>
            <w:tcMar>
              <w:top w:w="100" w:type="dxa"/>
              <w:left w:w="100" w:type="dxa"/>
              <w:bottom w:w="100" w:type="dxa"/>
              <w:right w:w="100" w:type="dxa"/>
            </w:tcMar>
          </w:tcPr>
          <w:p w14:paraId="26FA813A" w14:textId="77777777" w:rsidR="00605A25" w:rsidRPr="00C61037" w:rsidRDefault="00000000">
            <w:pPr>
              <w:spacing w:after="0"/>
              <w:rPr>
                <w:rFonts w:ascii="Calibri" w:hAnsi="Calibri" w:cs="Calibri"/>
              </w:rPr>
            </w:pPr>
            <w:r w:rsidRPr="00C61037">
              <w:rPr>
                <w:rFonts w:ascii="Calibri" w:hAnsi="Calibri" w:cs="Calibri"/>
                <w:b/>
                <w:color w:val="FFFFFF"/>
                <w:sz w:val="17"/>
              </w:rPr>
              <w:t>Actual Operational Capability</w:t>
            </w:r>
          </w:p>
        </w:tc>
        <w:tc>
          <w:tcPr>
            <w:tcW w:w="2484" w:type="dxa"/>
            <w:shd w:val="clear" w:color="auto" w:fill="0F1C2E"/>
            <w:tcMar>
              <w:top w:w="100" w:type="dxa"/>
              <w:left w:w="100" w:type="dxa"/>
              <w:bottom w:w="100" w:type="dxa"/>
              <w:right w:w="100" w:type="dxa"/>
            </w:tcMar>
          </w:tcPr>
          <w:p w14:paraId="733C661C" w14:textId="77777777" w:rsidR="00605A25" w:rsidRPr="00C61037" w:rsidRDefault="00000000">
            <w:pPr>
              <w:spacing w:after="0"/>
              <w:rPr>
                <w:rFonts w:ascii="Calibri" w:hAnsi="Calibri" w:cs="Calibri"/>
              </w:rPr>
            </w:pPr>
            <w:r w:rsidRPr="00C61037">
              <w:rPr>
                <w:rFonts w:ascii="Calibri" w:hAnsi="Calibri" w:cs="Calibri"/>
                <w:b/>
                <w:color w:val="FFFFFF"/>
                <w:sz w:val="17"/>
              </w:rPr>
              <w:t>Visibility &amp; Governance Gap Analysis</w:t>
            </w:r>
          </w:p>
        </w:tc>
      </w:tr>
      <w:tr w:rsidR="00605A25" w:rsidRPr="00C61037" w14:paraId="2FCF793C" w14:textId="77777777">
        <w:trPr>
          <w:jc w:val="center"/>
        </w:trPr>
        <w:tc>
          <w:tcPr>
            <w:tcW w:w="2484" w:type="dxa"/>
            <w:tcMar>
              <w:top w:w="80" w:type="dxa"/>
              <w:left w:w="100" w:type="dxa"/>
              <w:bottom w:w="80" w:type="dxa"/>
              <w:right w:w="100" w:type="dxa"/>
            </w:tcMar>
          </w:tcPr>
          <w:p w14:paraId="26363A97" w14:textId="77777777" w:rsidR="00605A25" w:rsidRPr="00C61037" w:rsidRDefault="00000000">
            <w:pPr>
              <w:spacing w:after="0"/>
              <w:rPr>
                <w:rFonts w:ascii="Calibri" w:hAnsi="Calibri" w:cs="Calibri"/>
              </w:rPr>
            </w:pPr>
            <w:r w:rsidRPr="00C61037">
              <w:rPr>
                <w:rFonts w:ascii="Calibri" w:hAnsi="Calibri" w:cs="Calibri"/>
                <w:sz w:val="17"/>
              </w:rPr>
              <w:t>Microsoft Sentinel</w:t>
            </w:r>
          </w:p>
        </w:tc>
        <w:tc>
          <w:tcPr>
            <w:tcW w:w="2484" w:type="dxa"/>
            <w:tcMar>
              <w:top w:w="80" w:type="dxa"/>
              <w:left w:w="100" w:type="dxa"/>
              <w:bottom w:w="80" w:type="dxa"/>
              <w:right w:w="100" w:type="dxa"/>
            </w:tcMar>
          </w:tcPr>
          <w:p w14:paraId="0972861B" w14:textId="77777777" w:rsidR="00605A25" w:rsidRPr="00C61037" w:rsidRDefault="00000000">
            <w:pPr>
              <w:spacing w:after="0"/>
              <w:rPr>
                <w:rFonts w:ascii="Calibri" w:hAnsi="Calibri" w:cs="Calibri"/>
              </w:rPr>
            </w:pPr>
            <w:r w:rsidRPr="00C61037">
              <w:rPr>
                <w:rFonts w:ascii="Calibri" w:hAnsi="Calibri" w:cs="Calibri"/>
                <w:sz w:val="17"/>
              </w:rPr>
              <w:t>Sentinel Contributor (PIM Activated)</w:t>
            </w:r>
          </w:p>
        </w:tc>
        <w:tc>
          <w:tcPr>
            <w:tcW w:w="2484" w:type="dxa"/>
            <w:tcMar>
              <w:top w:w="80" w:type="dxa"/>
              <w:left w:w="100" w:type="dxa"/>
              <w:bottom w:w="80" w:type="dxa"/>
              <w:right w:w="100" w:type="dxa"/>
            </w:tcMar>
          </w:tcPr>
          <w:p w14:paraId="098F65B8" w14:textId="77777777" w:rsidR="00605A25" w:rsidRPr="00C61037" w:rsidRDefault="00000000">
            <w:pPr>
              <w:spacing w:after="0"/>
              <w:rPr>
                <w:rFonts w:ascii="Calibri" w:hAnsi="Calibri" w:cs="Calibri"/>
              </w:rPr>
            </w:pPr>
            <w:r w:rsidRPr="00C61037">
              <w:rPr>
                <w:rFonts w:ascii="Calibri" w:hAnsi="Calibri" w:cs="Calibri"/>
                <w:sz w:val="17"/>
              </w:rPr>
              <w:t>Full administrative rights to rules, workbooks, analytics, and playbooks upon activation.</w:t>
            </w:r>
          </w:p>
        </w:tc>
        <w:tc>
          <w:tcPr>
            <w:tcW w:w="2484" w:type="dxa"/>
            <w:tcMar>
              <w:top w:w="80" w:type="dxa"/>
              <w:left w:w="100" w:type="dxa"/>
              <w:bottom w:w="80" w:type="dxa"/>
              <w:right w:w="100" w:type="dxa"/>
            </w:tcMar>
          </w:tcPr>
          <w:p w14:paraId="5D3E0840" w14:textId="77777777" w:rsidR="00605A25" w:rsidRPr="00C61037" w:rsidRDefault="00000000">
            <w:pPr>
              <w:spacing w:after="0"/>
              <w:rPr>
                <w:rFonts w:ascii="Calibri" w:hAnsi="Calibri" w:cs="Calibri"/>
              </w:rPr>
            </w:pPr>
            <w:r w:rsidRPr="00C61037">
              <w:rPr>
                <w:rFonts w:ascii="Calibri" w:hAnsi="Calibri" w:cs="Calibri"/>
                <w:sz w:val="17"/>
              </w:rPr>
              <w:t>None: Detection Engineering possesses appropriate operational and administrative rights when active.</w:t>
            </w:r>
          </w:p>
        </w:tc>
      </w:tr>
      <w:tr w:rsidR="00605A25" w:rsidRPr="00C61037" w14:paraId="1DBE722A" w14:textId="77777777">
        <w:trPr>
          <w:jc w:val="center"/>
        </w:trPr>
        <w:tc>
          <w:tcPr>
            <w:tcW w:w="2484" w:type="dxa"/>
            <w:shd w:val="clear" w:color="auto" w:fill="F4F7FA"/>
            <w:tcMar>
              <w:top w:w="80" w:type="dxa"/>
              <w:left w:w="100" w:type="dxa"/>
              <w:bottom w:w="80" w:type="dxa"/>
              <w:right w:w="100" w:type="dxa"/>
            </w:tcMar>
          </w:tcPr>
          <w:p w14:paraId="456AC18C" w14:textId="77777777" w:rsidR="00605A25" w:rsidRPr="00C61037" w:rsidRDefault="00000000">
            <w:pPr>
              <w:spacing w:after="0"/>
              <w:rPr>
                <w:rFonts w:ascii="Calibri" w:hAnsi="Calibri" w:cs="Calibri"/>
              </w:rPr>
            </w:pPr>
            <w:r w:rsidRPr="00C61037">
              <w:rPr>
                <w:rFonts w:ascii="Calibri" w:hAnsi="Calibri" w:cs="Calibri"/>
                <w:sz w:val="17"/>
              </w:rPr>
              <w:t>Microsoft Purview, DLP &amp; Insider Risk</w:t>
            </w:r>
          </w:p>
        </w:tc>
        <w:tc>
          <w:tcPr>
            <w:tcW w:w="2484" w:type="dxa"/>
            <w:shd w:val="clear" w:color="auto" w:fill="F4F7FA"/>
            <w:tcMar>
              <w:top w:w="80" w:type="dxa"/>
              <w:left w:w="100" w:type="dxa"/>
              <w:bottom w:w="80" w:type="dxa"/>
              <w:right w:w="100" w:type="dxa"/>
            </w:tcMar>
          </w:tcPr>
          <w:p w14:paraId="2B8FEE07" w14:textId="77777777" w:rsidR="00605A25" w:rsidRPr="00C61037" w:rsidRDefault="00000000">
            <w:pPr>
              <w:spacing w:after="0"/>
              <w:rPr>
                <w:rFonts w:ascii="Calibri" w:hAnsi="Calibri" w:cs="Calibri"/>
              </w:rPr>
            </w:pPr>
            <w:r w:rsidRPr="00C61037">
              <w:rPr>
                <w:rFonts w:ascii="Calibri" w:hAnsi="Calibri" w:cs="Calibri"/>
                <w:sz w:val="17"/>
              </w:rPr>
              <w:t>Security Reader (PIM Activated)</w:t>
            </w:r>
          </w:p>
        </w:tc>
        <w:tc>
          <w:tcPr>
            <w:tcW w:w="2484" w:type="dxa"/>
            <w:shd w:val="clear" w:color="auto" w:fill="F4F7FA"/>
            <w:tcMar>
              <w:top w:w="80" w:type="dxa"/>
              <w:left w:w="100" w:type="dxa"/>
              <w:bottom w:w="80" w:type="dxa"/>
              <w:right w:w="100" w:type="dxa"/>
            </w:tcMar>
          </w:tcPr>
          <w:p w14:paraId="4BAB5809" w14:textId="77777777" w:rsidR="00605A25" w:rsidRPr="00C61037" w:rsidRDefault="00000000">
            <w:pPr>
              <w:spacing w:after="0"/>
              <w:rPr>
                <w:rFonts w:ascii="Calibri" w:hAnsi="Calibri" w:cs="Calibri"/>
              </w:rPr>
            </w:pPr>
            <w:r w:rsidRPr="00C61037">
              <w:rPr>
                <w:rFonts w:ascii="Calibri" w:hAnsi="Calibri" w:cs="Calibri"/>
                <w:sz w:val="17"/>
              </w:rPr>
              <w:t>No Access to DLP policy logic, SITs, sensitivity labels, or Insider Risk indicators.</w:t>
            </w:r>
          </w:p>
        </w:tc>
        <w:tc>
          <w:tcPr>
            <w:tcW w:w="2484" w:type="dxa"/>
            <w:shd w:val="clear" w:color="auto" w:fill="F4F7FA"/>
            <w:tcMar>
              <w:top w:w="80" w:type="dxa"/>
              <w:left w:w="100" w:type="dxa"/>
              <w:bottom w:w="80" w:type="dxa"/>
              <w:right w:w="100" w:type="dxa"/>
            </w:tcMar>
          </w:tcPr>
          <w:p w14:paraId="075D34C7" w14:textId="77777777" w:rsidR="00605A25" w:rsidRPr="00C61037" w:rsidRDefault="00000000">
            <w:pPr>
              <w:spacing w:after="0"/>
              <w:rPr>
                <w:rFonts w:ascii="Calibri" w:hAnsi="Calibri" w:cs="Calibri"/>
              </w:rPr>
            </w:pPr>
            <w:r w:rsidRPr="00C61037">
              <w:rPr>
                <w:rFonts w:ascii="Calibri" w:hAnsi="Calibri" w:cs="Calibri"/>
                <w:sz w:val="17"/>
              </w:rPr>
              <w:t>Critical Gap (Immediate Unblock Needed): Entra Security Reader does not grant access to Purview compliance objects. Detection Engineering cannot inspect exfiltration rules or insider risk signals.</w:t>
            </w:r>
          </w:p>
        </w:tc>
      </w:tr>
      <w:tr w:rsidR="00605A25" w:rsidRPr="00C61037" w14:paraId="51F3D1E7" w14:textId="77777777">
        <w:trPr>
          <w:jc w:val="center"/>
        </w:trPr>
        <w:tc>
          <w:tcPr>
            <w:tcW w:w="2484" w:type="dxa"/>
            <w:tcMar>
              <w:top w:w="80" w:type="dxa"/>
              <w:left w:w="100" w:type="dxa"/>
              <w:bottom w:w="80" w:type="dxa"/>
              <w:right w:w="100" w:type="dxa"/>
            </w:tcMar>
          </w:tcPr>
          <w:p w14:paraId="2E2E6DC1" w14:textId="77777777" w:rsidR="00605A25" w:rsidRPr="00C61037" w:rsidRDefault="00000000">
            <w:pPr>
              <w:spacing w:after="0"/>
              <w:rPr>
                <w:rFonts w:ascii="Calibri" w:hAnsi="Calibri" w:cs="Calibri"/>
              </w:rPr>
            </w:pPr>
            <w:r w:rsidRPr="00C61037">
              <w:rPr>
                <w:rFonts w:ascii="Calibri" w:hAnsi="Calibri" w:cs="Calibri"/>
                <w:sz w:val="17"/>
              </w:rPr>
              <w:lastRenderedPageBreak/>
              <w:t>Defender XDR</w:t>
            </w:r>
          </w:p>
        </w:tc>
        <w:tc>
          <w:tcPr>
            <w:tcW w:w="2484" w:type="dxa"/>
            <w:tcMar>
              <w:top w:w="80" w:type="dxa"/>
              <w:left w:w="100" w:type="dxa"/>
              <w:bottom w:w="80" w:type="dxa"/>
              <w:right w:w="100" w:type="dxa"/>
            </w:tcMar>
          </w:tcPr>
          <w:p w14:paraId="46355D4E" w14:textId="77777777" w:rsidR="00605A25" w:rsidRPr="00C61037" w:rsidRDefault="00000000">
            <w:pPr>
              <w:spacing w:after="0"/>
              <w:rPr>
                <w:rFonts w:ascii="Calibri" w:hAnsi="Calibri" w:cs="Calibri"/>
              </w:rPr>
            </w:pPr>
            <w:r w:rsidRPr="00C61037">
              <w:rPr>
                <w:rFonts w:ascii="Calibri" w:hAnsi="Calibri" w:cs="Calibri"/>
                <w:sz w:val="17"/>
              </w:rPr>
              <w:t>Security Reader (PIM Activated)</w:t>
            </w:r>
          </w:p>
        </w:tc>
        <w:tc>
          <w:tcPr>
            <w:tcW w:w="2484" w:type="dxa"/>
            <w:tcMar>
              <w:top w:w="80" w:type="dxa"/>
              <w:left w:w="100" w:type="dxa"/>
              <w:bottom w:w="80" w:type="dxa"/>
              <w:right w:w="100" w:type="dxa"/>
            </w:tcMar>
          </w:tcPr>
          <w:p w14:paraId="08494B29" w14:textId="77777777" w:rsidR="00605A25" w:rsidRPr="00C61037" w:rsidRDefault="00000000">
            <w:pPr>
              <w:spacing w:after="0"/>
              <w:rPr>
                <w:rFonts w:ascii="Calibri" w:hAnsi="Calibri" w:cs="Calibri"/>
              </w:rPr>
            </w:pPr>
            <w:r w:rsidRPr="00C61037">
              <w:rPr>
                <w:rFonts w:ascii="Calibri" w:hAnsi="Calibri" w:cs="Calibri"/>
                <w:sz w:val="17"/>
              </w:rPr>
              <w:t>Basic view of alerts and incidents in the Defender portal.</w:t>
            </w:r>
          </w:p>
        </w:tc>
        <w:tc>
          <w:tcPr>
            <w:tcW w:w="2484" w:type="dxa"/>
            <w:tcMar>
              <w:top w:w="80" w:type="dxa"/>
              <w:left w:w="100" w:type="dxa"/>
              <w:bottom w:w="80" w:type="dxa"/>
              <w:right w:w="100" w:type="dxa"/>
            </w:tcMar>
          </w:tcPr>
          <w:p w14:paraId="7ED524DB" w14:textId="77777777" w:rsidR="00605A25" w:rsidRPr="00C61037" w:rsidRDefault="00000000">
            <w:pPr>
              <w:spacing w:after="0"/>
              <w:rPr>
                <w:rFonts w:ascii="Calibri" w:hAnsi="Calibri" w:cs="Calibri"/>
              </w:rPr>
            </w:pPr>
            <w:r w:rsidRPr="00C61037">
              <w:rPr>
                <w:rFonts w:ascii="Calibri" w:hAnsi="Calibri" w:cs="Calibri"/>
                <w:sz w:val="17"/>
              </w:rPr>
              <w:t>Critical Gap (Phased Migration Needed): Detection Engineering is blocked from reading raw schemas and executing KQL Advanced Hunting under Defender URBAC.</w:t>
            </w:r>
          </w:p>
        </w:tc>
      </w:tr>
      <w:tr w:rsidR="00605A25" w:rsidRPr="00C61037" w14:paraId="21D34B11" w14:textId="77777777">
        <w:trPr>
          <w:jc w:val="center"/>
        </w:trPr>
        <w:tc>
          <w:tcPr>
            <w:tcW w:w="2484" w:type="dxa"/>
            <w:shd w:val="clear" w:color="auto" w:fill="F4F7FA"/>
            <w:tcMar>
              <w:top w:w="80" w:type="dxa"/>
              <w:left w:w="100" w:type="dxa"/>
              <w:bottom w:w="80" w:type="dxa"/>
              <w:right w:w="100" w:type="dxa"/>
            </w:tcMar>
          </w:tcPr>
          <w:p w14:paraId="11C87DF0" w14:textId="77777777" w:rsidR="00605A25" w:rsidRPr="00C61037" w:rsidRDefault="00000000">
            <w:pPr>
              <w:spacing w:after="0"/>
              <w:rPr>
                <w:rFonts w:ascii="Calibri" w:hAnsi="Calibri" w:cs="Calibri"/>
              </w:rPr>
            </w:pPr>
            <w:r w:rsidRPr="00C61037">
              <w:rPr>
                <w:rFonts w:ascii="Calibri" w:hAnsi="Calibri" w:cs="Calibri"/>
                <w:sz w:val="17"/>
              </w:rPr>
              <w:t>Entra ID / User Risk</w:t>
            </w:r>
          </w:p>
        </w:tc>
        <w:tc>
          <w:tcPr>
            <w:tcW w:w="2484" w:type="dxa"/>
            <w:shd w:val="clear" w:color="auto" w:fill="F4F7FA"/>
            <w:tcMar>
              <w:top w:w="80" w:type="dxa"/>
              <w:left w:w="100" w:type="dxa"/>
              <w:bottom w:w="80" w:type="dxa"/>
              <w:right w:w="100" w:type="dxa"/>
            </w:tcMar>
          </w:tcPr>
          <w:p w14:paraId="53940CB2" w14:textId="77777777" w:rsidR="00605A25" w:rsidRPr="00C61037" w:rsidRDefault="00000000">
            <w:pPr>
              <w:spacing w:after="0"/>
              <w:rPr>
                <w:rFonts w:ascii="Calibri" w:hAnsi="Calibri" w:cs="Calibri"/>
              </w:rPr>
            </w:pPr>
            <w:r w:rsidRPr="00C61037">
              <w:rPr>
                <w:rFonts w:ascii="Calibri" w:hAnsi="Calibri" w:cs="Calibri"/>
                <w:sz w:val="17"/>
              </w:rPr>
              <w:t>Security Reader (PIM Activated)</w:t>
            </w:r>
          </w:p>
        </w:tc>
        <w:tc>
          <w:tcPr>
            <w:tcW w:w="2484" w:type="dxa"/>
            <w:shd w:val="clear" w:color="auto" w:fill="F4F7FA"/>
            <w:tcMar>
              <w:top w:w="80" w:type="dxa"/>
              <w:left w:w="100" w:type="dxa"/>
              <w:bottom w:w="80" w:type="dxa"/>
              <w:right w:w="100" w:type="dxa"/>
            </w:tcMar>
          </w:tcPr>
          <w:p w14:paraId="71B7DE74" w14:textId="77777777" w:rsidR="00605A25" w:rsidRPr="00C61037" w:rsidRDefault="00000000">
            <w:pPr>
              <w:spacing w:after="0"/>
              <w:rPr>
                <w:rFonts w:ascii="Calibri" w:hAnsi="Calibri" w:cs="Calibri"/>
              </w:rPr>
            </w:pPr>
            <w:r w:rsidRPr="00C61037">
              <w:rPr>
                <w:rFonts w:ascii="Calibri" w:hAnsi="Calibri" w:cs="Calibri"/>
                <w:sz w:val="17"/>
              </w:rPr>
              <w:t>Read-only view of risky users, risk detections, and conditional access.</w:t>
            </w:r>
          </w:p>
        </w:tc>
        <w:tc>
          <w:tcPr>
            <w:tcW w:w="2484" w:type="dxa"/>
            <w:shd w:val="clear" w:color="auto" w:fill="F4F7FA"/>
            <w:tcMar>
              <w:top w:w="80" w:type="dxa"/>
              <w:left w:w="100" w:type="dxa"/>
              <w:bottom w:w="80" w:type="dxa"/>
              <w:right w:w="100" w:type="dxa"/>
            </w:tcMar>
          </w:tcPr>
          <w:p w14:paraId="35DE0785" w14:textId="77777777" w:rsidR="00605A25" w:rsidRPr="00C61037" w:rsidRDefault="00000000">
            <w:pPr>
              <w:spacing w:after="0"/>
              <w:rPr>
                <w:rFonts w:ascii="Calibri" w:hAnsi="Calibri" w:cs="Calibri"/>
              </w:rPr>
            </w:pPr>
            <w:r w:rsidRPr="00C61037">
              <w:rPr>
                <w:rFonts w:ascii="Calibri" w:hAnsi="Calibri" w:cs="Calibri"/>
                <w:sz w:val="17"/>
              </w:rPr>
              <w:t>Sufficient: Provides Detection Engineering with adequate read visibility without modification rights upon activation.</w:t>
            </w:r>
          </w:p>
        </w:tc>
      </w:tr>
    </w:tbl>
    <w:p w14:paraId="41F3852C" w14:textId="77777777" w:rsidR="00605A25" w:rsidRPr="00C61037" w:rsidRDefault="00605A25">
      <w:pPr>
        <w:spacing w:after="120"/>
        <w:rPr>
          <w:rFonts w:ascii="Calibri" w:hAnsi="Calibri" w:cs="Calibri"/>
        </w:rPr>
      </w:pPr>
    </w:p>
    <w:tbl>
      <w:tblPr>
        <w:tblW w:w="0" w:type="auto"/>
        <w:jc w:val="center"/>
        <w:tblLook w:val="04A0" w:firstRow="1" w:lastRow="0" w:firstColumn="1" w:lastColumn="0" w:noHBand="0" w:noVBand="1"/>
      </w:tblPr>
      <w:tblGrid>
        <w:gridCol w:w="9936"/>
      </w:tblGrid>
      <w:tr w:rsidR="00605A25" w:rsidRPr="00C61037" w14:paraId="1E0B457C" w14:textId="77777777">
        <w:trPr>
          <w:jc w:val="center"/>
        </w:trPr>
        <w:tc>
          <w:tcPr>
            <w:tcW w:w="9936" w:type="dxa"/>
            <w:shd w:val="clear" w:color="auto" w:fill="FFF8F0"/>
            <w:tcMar>
              <w:top w:w="100" w:type="dxa"/>
              <w:left w:w="120" w:type="dxa"/>
              <w:bottom w:w="100" w:type="dxa"/>
              <w:right w:w="120" w:type="dxa"/>
            </w:tcMar>
          </w:tcPr>
          <w:p w14:paraId="3648B317" w14:textId="77777777" w:rsidR="00605A25" w:rsidRPr="00C61037" w:rsidRDefault="00000000" w:rsidP="00C61037">
            <w:pPr>
              <w:spacing w:after="0"/>
              <w:rPr>
                <w:rFonts w:ascii="Calibri" w:hAnsi="Calibri" w:cs="Calibri"/>
              </w:rPr>
            </w:pPr>
            <w:r w:rsidRPr="00C61037">
              <w:rPr>
                <w:rFonts w:ascii="Calibri" w:hAnsi="Calibri" w:cs="Calibri"/>
                <w:b/>
                <w:color w:val="B45000"/>
                <w:sz w:val="18"/>
              </w:rPr>
              <w:t>Technical Root Cause of Current Operational Friction:</w:t>
            </w:r>
            <w:r w:rsidRPr="00C61037">
              <w:rPr>
                <w:rFonts w:ascii="Calibri" w:hAnsi="Calibri" w:cs="Calibri"/>
                <w:b/>
                <w:color w:val="B45000"/>
                <w:sz w:val="18"/>
              </w:rPr>
              <w:br/>
            </w:r>
            <w:r w:rsidRPr="00C61037">
              <w:rPr>
                <w:rFonts w:ascii="Calibri" w:hAnsi="Calibri" w:cs="Calibri"/>
                <w:szCs w:val="20"/>
              </w:rPr>
              <w:t>Microsoft enforces strict separation of administrative planes. Entra ID administrative roles activated via PIM (e.g., Security Reader) do NOT inherit permissions into Microsoft Purview solutions (DLP, Insider Risk), nor do they grant granular telemetry access under Microsoft Defender Unified RBAC. Threat detections cannot be built against data exfiltration or threat signals without explicit role mapping to Detection Engineering's existing Entra ID Security Group within these workloads.</w:t>
            </w:r>
          </w:p>
        </w:tc>
      </w:tr>
    </w:tbl>
    <w:p w14:paraId="31756E81" w14:textId="77777777" w:rsidR="00605A25" w:rsidRPr="00C61037" w:rsidRDefault="00000000">
      <w:pPr>
        <w:keepNext/>
        <w:spacing w:before="280" w:after="120"/>
        <w:rPr>
          <w:rFonts w:ascii="Calibri" w:hAnsi="Calibri" w:cs="Calibri"/>
        </w:rPr>
      </w:pPr>
      <w:r w:rsidRPr="00C61037">
        <w:rPr>
          <w:rFonts w:ascii="Calibri" w:hAnsi="Calibri" w:cs="Calibri"/>
          <w:b/>
          <w:color w:val="0F1C2E"/>
          <w:sz w:val="24"/>
        </w:rPr>
        <w:t>3. TWO-PHASED STRATEGY &amp; TARGET ARCHITECTURE</w:t>
      </w:r>
    </w:p>
    <w:tbl>
      <w:tblPr>
        <w:tblW w:w="0" w:type="auto"/>
        <w:jc w:val="center"/>
        <w:tblLook w:val="04A0" w:firstRow="1" w:lastRow="0" w:firstColumn="1" w:lastColumn="0" w:noHBand="0" w:noVBand="1"/>
      </w:tblPr>
      <w:tblGrid>
        <w:gridCol w:w="9936"/>
      </w:tblGrid>
      <w:tr w:rsidR="00605A25" w:rsidRPr="00C61037" w14:paraId="540D9678" w14:textId="77777777">
        <w:trPr>
          <w:jc w:val="center"/>
        </w:trPr>
        <w:tc>
          <w:tcPr>
            <w:tcW w:w="9936" w:type="dxa"/>
            <w:shd w:val="clear" w:color="auto" w:fill="F0FDF4"/>
            <w:tcMar>
              <w:top w:w="100" w:type="dxa"/>
              <w:left w:w="120" w:type="dxa"/>
              <w:bottom w:w="100" w:type="dxa"/>
              <w:right w:w="120" w:type="dxa"/>
            </w:tcMar>
          </w:tcPr>
          <w:p w14:paraId="011D1725" w14:textId="0F732B81" w:rsidR="00605A25" w:rsidRPr="00C61037" w:rsidRDefault="00000000">
            <w:pPr>
              <w:spacing w:after="0"/>
              <w:rPr>
                <w:rFonts w:ascii="Calibri" w:hAnsi="Calibri" w:cs="Calibri"/>
              </w:rPr>
            </w:pPr>
            <w:r w:rsidRPr="00C61037">
              <w:rPr>
                <w:rFonts w:ascii="Calibri" w:hAnsi="Calibri" w:cs="Calibri"/>
                <w:b/>
                <w:color w:val="166534"/>
                <w:szCs w:val="20"/>
              </w:rPr>
              <w:t>IMMEDIATE ACTION: PURVIEW, DLP &amp; INSIDER RISK ROLE ASSIGNMENTS</w:t>
            </w:r>
            <w:r w:rsidRPr="00C61037">
              <w:rPr>
                <w:rFonts w:ascii="Calibri" w:hAnsi="Calibri" w:cs="Calibri"/>
                <w:b/>
                <w:color w:val="166534"/>
                <w:sz w:val="18"/>
              </w:rPr>
              <w:br/>
            </w:r>
            <w:r w:rsidRPr="00C61037">
              <w:rPr>
                <w:rFonts w:ascii="Calibri" w:hAnsi="Calibri" w:cs="Calibri"/>
                <w:szCs w:val="20"/>
              </w:rPr>
              <w:t xml:space="preserve">Because Microsoft Purview permissions are completely decoupled from Defender URBAC and Azure RBAC, granting Purview permissions requires NO tenant-wide changes and carries ZERO risk to other teams. Detection Engineering's existing Entra ID Security Group </w:t>
            </w:r>
            <w:r w:rsidR="00986FA2">
              <w:rPr>
                <w:rFonts w:ascii="Calibri" w:hAnsi="Calibri" w:cs="Calibri"/>
                <w:szCs w:val="20"/>
              </w:rPr>
              <w:t xml:space="preserve">can </w:t>
            </w:r>
            <w:r w:rsidR="00986FA2" w:rsidRPr="00C61037">
              <w:rPr>
                <w:rFonts w:ascii="Calibri" w:hAnsi="Calibri" w:cs="Calibri"/>
                <w:szCs w:val="20"/>
              </w:rPr>
              <w:t>be</w:t>
            </w:r>
            <w:r w:rsidRPr="00C61037">
              <w:rPr>
                <w:rFonts w:ascii="Calibri" w:hAnsi="Calibri" w:cs="Calibri"/>
                <w:szCs w:val="20"/>
              </w:rPr>
              <w:t xml:space="preserve"> added to specific Purview Role Groups in the Purview Portal to unblock DLP and Insider Risk correlation rules instantly</w:t>
            </w:r>
            <w:r w:rsidR="00C61037">
              <w:rPr>
                <w:rFonts w:ascii="Calibri" w:hAnsi="Calibri" w:cs="Calibri"/>
                <w:szCs w:val="20"/>
              </w:rPr>
              <w:t xml:space="preserve"> or IIQ role assignments granted</w:t>
            </w:r>
            <w:r w:rsidRPr="00C61037">
              <w:rPr>
                <w:rFonts w:ascii="Calibri" w:hAnsi="Calibri" w:cs="Calibri"/>
                <w:szCs w:val="20"/>
              </w:rPr>
              <w:t>.</w:t>
            </w:r>
          </w:p>
        </w:tc>
      </w:tr>
    </w:tbl>
    <w:p w14:paraId="285263FF" w14:textId="77777777" w:rsidR="00605A25" w:rsidRPr="00C61037" w:rsidRDefault="00605A25">
      <w:pPr>
        <w:spacing w:after="120"/>
        <w:rPr>
          <w:rFonts w:ascii="Calibri" w:hAnsi="Calibri" w:cs="Calibri"/>
        </w:rPr>
      </w:pPr>
    </w:p>
    <w:p w14:paraId="7BD2E9E0" w14:textId="77777777" w:rsidR="00605A25" w:rsidRPr="00C61037" w:rsidRDefault="00000000">
      <w:pPr>
        <w:keepNext/>
        <w:spacing w:before="200" w:after="80"/>
        <w:rPr>
          <w:rFonts w:ascii="Calibri" w:hAnsi="Calibri" w:cs="Calibri"/>
        </w:rPr>
      </w:pPr>
      <w:r w:rsidRPr="00C61037">
        <w:rPr>
          <w:rFonts w:ascii="Calibri" w:hAnsi="Calibri" w:cs="Calibri"/>
          <w:b/>
          <w:color w:val="005A9E"/>
          <w:sz w:val="21"/>
        </w:rPr>
        <w:t>A. Immediate Role Mappings in Microsoft Purview Portal</w:t>
      </w:r>
    </w:p>
    <w:p w14:paraId="65633813" w14:textId="04C23A1D" w:rsidR="00605A25" w:rsidRPr="00C61037" w:rsidRDefault="00000000">
      <w:pPr>
        <w:spacing w:after="80"/>
        <w:rPr>
          <w:rFonts w:ascii="Calibri" w:hAnsi="Calibri" w:cs="Calibri"/>
        </w:rPr>
      </w:pPr>
      <w:r w:rsidRPr="00C61037">
        <w:rPr>
          <w:rFonts w:ascii="Calibri" w:hAnsi="Calibri" w:cs="Calibri"/>
        </w:rPr>
        <w:t>To inspect DLP rules, sensitive data definitions, and insider risk telemetry,</w:t>
      </w:r>
      <w:r w:rsidR="00C61037">
        <w:rPr>
          <w:rFonts w:ascii="Calibri" w:hAnsi="Calibri" w:cs="Calibri"/>
        </w:rPr>
        <w:t xml:space="preserve"> IIQ role assignments can be </w:t>
      </w:r>
      <w:r w:rsidR="00BC4186">
        <w:rPr>
          <w:rFonts w:ascii="Calibri" w:hAnsi="Calibri" w:cs="Calibri"/>
        </w:rPr>
        <w:t>used,</w:t>
      </w:r>
      <w:r w:rsidR="00C61037">
        <w:rPr>
          <w:rFonts w:ascii="Calibri" w:hAnsi="Calibri" w:cs="Calibri"/>
        </w:rPr>
        <w:t xml:space="preserve"> or</w:t>
      </w:r>
      <w:r w:rsidRPr="00C61037">
        <w:rPr>
          <w:rFonts w:ascii="Calibri" w:hAnsi="Calibri" w:cs="Calibri"/>
        </w:rPr>
        <w:t xml:space="preserve"> Detection Engineering's existing Entra ID Security Group</w:t>
      </w:r>
      <w:r w:rsidR="00C61037">
        <w:rPr>
          <w:rFonts w:ascii="Calibri" w:hAnsi="Calibri" w:cs="Calibri"/>
        </w:rPr>
        <w:t xml:space="preserve"> can</w:t>
      </w:r>
      <w:r w:rsidRPr="00C61037">
        <w:rPr>
          <w:rFonts w:ascii="Calibri" w:hAnsi="Calibri" w:cs="Calibri"/>
        </w:rPr>
        <w:t xml:space="preserve"> be assigned the following built-in Purview Role Groups in the Purview Portal (purview.microsoft.com &gt; Settings &gt; Roles &amp; Scopes &gt; Role Groups):</w:t>
      </w:r>
    </w:p>
    <w:p w14:paraId="2A6B1AED" w14:textId="5A01EFE5" w:rsidR="00605A25" w:rsidRPr="00C61037" w:rsidRDefault="00000000">
      <w:pPr>
        <w:pStyle w:val="ListBullet"/>
        <w:spacing w:after="60"/>
        <w:rPr>
          <w:rFonts w:ascii="Calibri" w:hAnsi="Calibri" w:cs="Calibri"/>
        </w:rPr>
      </w:pPr>
      <w:r w:rsidRPr="00C61037">
        <w:rPr>
          <w:rFonts w:ascii="Calibri" w:hAnsi="Calibri" w:cs="Calibri"/>
          <w:b/>
          <w:color w:val="0F1C2E"/>
        </w:rPr>
        <w:t xml:space="preserve">Compliance </w:t>
      </w:r>
      <w:r w:rsidR="004F7E02">
        <w:rPr>
          <w:rFonts w:ascii="Calibri" w:hAnsi="Calibri" w:cs="Calibri"/>
          <w:b/>
          <w:color w:val="0F1C2E"/>
        </w:rPr>
        <w:t xml:space="preserve">Manager </w:t>
      </w:r>
      <w:r w:rsidRPr="00C61037">
        <w:rPr>
          <w:rFonts w:ascii="Calibri" w:hAnsi="Calibri" w:cs="Calibri"/>
          <w:b/>
          <w:color w:val="0F1C2E"/>
        </w:rPr>
        <w:t xml:space="preserve">Reader: </w:t>
      </w:r>
      <w:r w:rsidRPr="00C61037">
        <w:rPr>
          <w:rFonts w:ascii="Calibri" w:hAnsi="Calibri" w:cs="Calibri"/>
        </w:rPr>
        <w:t>Provides overall read-only visibility into compliance posture, data classification policies, and alert dashboards</w:t>
      </w:r>
      <w:r w:rsidRPr="00C61037">
        <w:rPr>
          <w:rFonts w:ascii="Calibri" w:hAnsi="Calibri" w:cs="Calibri"/>
          <w:vertAlign w:val="superscript"/>
        </w:rPr>
        <w:t xml:space="preserve"> </w:t>
      </w:r>
      <w:r w:rsidR="00C61037" w:rsidRPr="00C61037">
        <w:rPr>
          <w:rFonts w:ascii="Calibri" w:hAnsi="Calibri" w:cs="Calibri"/>
          <w:vertAlign w:val="superscript"/>
        </w:rPr>
        <w:t>2</w:t>
      </w:r>
      <w:r w:rsidRPr="00C61037">
        <w:rPr>
          <w:rFonts w:ascii="Calibri" w:hAnsi="Calibri" w:cs="Calibri"/>
        </w:rPr>
        <w:t>.</w:t>
      </w:r>
    </w:p>
    <w:p w14:paraId="69F4D0C2" w14:textId="0361B05F" w:rsidR="00605A25" w:rsidRPr="00C61037" w:rsidRDefault="00000000">
      <w:pPr>
        <w:pStyle w:val="ListBullet"/>
        <w:spacing w:after="60"/>
        <w:rPr>
          <w:rFonts w:ascii="Calibri" w:hAnsi="Calibri" w:cs="Calibri"/>
        </w:rPr>
      </w:pPr>
      <w:r w:rsidRPr="00C61037">
        <w:rPr>
          <w:rFonts w:ascii="Calibri" w:hAnsi="Calibri" w:cs="Calibri"/>
          <w:b/>
          <w:color w:val="0F1C2E"/>
        </w:rPr>
        <w:t xml:space="preserve">View-Only DLP Compliance Management: </w:t>
      </w:r>
      <w:r w:rsidRPr="00C61037">
        <w:rPr>
          <w:rFonts w:ascii="Calibri" w:hAnsi="Calibri" w:cs="Calibri"/>
        </w:rPr>
        <w:t xml:space="preserve">Grants explicit view-only access to inspect Data Loss Prevention (DLP) policy logic, match conditions, SIT rules, and historical exfiltration alerts without edit rights </w:t>
      </w:r>
      <w:r w:rsidRPr="00986FA2">
        <w:rPr>
          <w:rFonts w:ascii="Calibri" w:hAnsi="Calibri" w:cs="Calibri"/>
          <w:vertAlign w:val="superscript"/>
        </w:rPr>
        <w:t>2, 3</w:t>
      </w:r>
      <w:r w:rsidRPr="00C61037">
        <w:rPr>
          <w:rFonts w:ascii="Calibri" w:hAnsi="Calibri" w:cs="Calibri"/>
        </w:rPr>
        <w:t>.</w:t>
      </w:r>
    </w:p>
    <w:p w14:paraId="6FF99A6F" w14:textId="667FEA12" w:rsidR="00605A25" w:rsidRPr="00C61037" w:rsidRDefault="00000000">
      <w:pPr>
        <w:pStyle w:val="ListBullet"/>
        <w:spacing w:after="60"/>
        <w:rPr>
          <w:rFonts w:ascii="Calibri" w:hAnsi="Calibri" w:cs="Calibri"/>
        </w:rPr>
      </w:pPr>
      <w:r w:rsidRPr="00C61037">
        <w:rPr>
          <w:rFonts w:ascii="Calibri" w:hAnsi="Calibri" w:cs="Calibri"/>
          <w:b/>
          <w:color w:val="0F1C2E"/>
        </w:rPr>
        <w:t xml:space="preserve">Insider Risk Management Analysts / Readers: </w:t>
      </w:r>
      <w:r w:rsidRPr="00C61037">
        <w:rPr>
          <w:rFonts w:ascii="Calibri" w:hAnsi="Calibri" w:cs="Calibri"/>
        </w:rPr>
        <w:t xml:space="preserve">Grants read-only access to view Insider Risk Management policy triggers, user risk scores, and telemetry alerts, enabling correlation between insider threat indicators and Sentinel workbooks </w:t>
      </w:r>
      <w:r w:rsidR="00C61037" w:rsidRPr="00C61037">
        <w:rPr>
          <w:rFonts w:ascii="Calibri" w:hAnsi="Calibri" w:cs="Calibri"/>
          <w:vertAlign w:val="superscript"/>
        </w:rPr>
        <w:t>2</w:t>
      </w:r>
      <w:r w:rsidRPr="00C61037">
        <w:rPr>
          <w:rFonts w:ascii="Calibri" w:hAnsi="Calibri" w:cs="Calibri"/>
        </w:rPr>
        <w:t>.</w:t>
      </w:r>
    </w:p>
    <w:p w14:paraId="55A68D1C" w14:textId="77777777" w:rsidR="00605A25" w:rsidRPr="00C61037" w:rsidRDefault="00000000">
      <w:pPr>
        <w:pStyle w:val="ListBullet"/>
        <w:spacing w:after="60"/>
        <w:rPr>
          <w:rFonts w:ascii="Calibri" w:hAnsi="Calibri" w:cs="Calibri"/>
        </w:rPr>
      </w:pPr>
      <w:r w:rsidRPr="00C61037">
        <w:rPr>
          <w:rFonts w:ascii="Calibri" w:hAnsi="Calibri" w:cs="Calibri"/>
          <w:b/>
          <w:color w:val="0F1C2E"/>
        </w:rPr>
        <w:t xml:space="preserve">Information Protection Analyst / Reader: </w:t>
      </w:r>
      <w:r w:rsidRPr="00C61037">
        <w:rPr>
          <w:rFonts w:ascii="Calibri" w:hAnsi="Calibri" w:cs="Calibri"/>
        </w:rPr>
        <w:t>Provides read-only access to sensitivity label definitions and auto-classification rules across Office 365 and cloud locations.</w:t>
      </w:r>
    </w:p>
    <w:p w14:paraId="71803D84" w14:textId="77777777" w:rsidR="00605A25" w:rsidRPr="00C61037" w:rsidRDefault="00000000">
      <w:pPr>
        <w:keepNext/>
        <w:spacing w:before="200" w:after="80"/>
        <w:rPr>
          <w:rFonts w:ascii="Calibri" w:hAnsi="Calibri" w:cs="Calibri"/>
        </w:rPr>
      </w:pPr>
      <w:r w:rsidRPr="00C61037">
        <w:rPr>
          <w:rFonts w:ascii="Calibri" w:hAnsi="Calibri" w:cs="Calibri"/>
          <w:b/>
          <w:color w:val="005A9E"/>
          <w:sz w:val="21"/>
        </w:rPr>
        <w:t>B. Final Target Roadmap: Defender Unified RBAC (URBAC) Migration</w:t>
      </w:r>
    </w:p>
    <w:p w14:paraId="5FC4E2B1" w14:textId="77777777" w:rsidR="00605A25" w:rsidRPr="00C61037" w:rsidRDefault="00000000">
      <w:pPr>
        <w:spacing w:after="80"/>
        <w:rPr>
          <w:rFonts w:ascii="Calibri" w:hAnsi="Calibri" w:cs="Calibri"/>
        </w:rPr>
      </w:pPr>
      <w:r w:rsidRPr="00C61037">
        <w:rPr>
          <w:rFonts w:ascii="Calibri" w:hAnsi="Calibri" w:cs="Calibri"/>
        </w:rPr>
        <w:t>While Purview access is granted immediately, migrating Defender XDR to Unified RBAC (URBAC) represents the final target state item to be completed before the March 31, 2027 deprecation. Under URBAC, Detection Engineering's existing Entra ID Security Group will be mapped to a custom Defender URBAC role:</w:t>
      </w:r>
    </w:p>
    <w:p w14:paraId="1F399651" w14:textId="2DEE3251" w:rsidR="00605A25" w:rsidRPr="00C61037" w:rsidRDefault="00000000">
      <w:pPr>
        <w:pStyle w:val="ListBullet"/>
        <w:spacing w:after="60"/>
        <w:ind w:left="720"/>
        <w:rPr>
          <w:rFonts w:ascii="Calibri" w:hAnsi="Calibri" w:cs="Calibri"/>
        </w:rPr>
      </w:pPr>
      <w:r w:rsidRPr="00C61037">
        <w:rPr>
          <w:rFonts w:ascii="Calibri" w:hAnsi="Calibri" w:cs="Calibri"/>
          <w:b/>
          <w:color w:val="0F1C2E"/>
        </w:rPr>
        <w:t xml:space="preserve">Security operations / Security data (Read): </w:t>
      </w:r>
      <w:r w:rsidRPr="00C61037">
        <w:rPr>
          <w:rFonts w:ascii="Calibri" w:hAnsi="Calibri" w:cs="Calibri"/>
        </w:rPr>
        <w:t xml:space="preserve">Grants access to incidents, alerts, investigation graphs, and reports </w:t>
      </w:r>
      <w:r w:rsidRPr="00986FA2">
        <w:rPr>
          <w:rFonts w:ascii="Calibri" w:hAnsi="Calibri" w:cs="Calibri"/>
          <w:vertAlign w:val="superscript"/>
        </w:rPr>
        <w:t>1</w:t>
      </w:r>
      <w:r w:rsidRPr="00C61037">
        <w:rPr>
          <w:rFonts w:ascii="Calibri" w:hAnsi="Calibri" w:cs="Calibri"/>
        </w:rPr>
        <w:t>.</w:t>
      </w:r>
    </w:p>
    <w:p w14:paraId="7F48581F" w14:textId="168574D5" w:rsidR="00605A25" w:rsidRPr="00C61037" w:rsidRDefault="00000000">
      <w:pPr>
        <w:pStyle w:val="ListBullet"/>
        <w:spacing w:after="60"/>
        <w:ind w:left="720"/>
        <w:rPr>
          <w:rFonts w:ascii="Calibri" w:hAnsi="Calibri" w:cs="Calibri"/>
        </w:rPr>
      </w:pPr>
      <w:r w:rsidRPr="00C61037">
        <w:rPr>
          <w:rFonts w:ascii="Calibri" w:hAnsi="Calibri" w:cs="Calibri"/>
          <w:b/>
          <w:color w:val="0F1C2E"/>
        </w:rPr>
        <w:t xml:space="preserve">Data operations / Advanced hunting (Read): </w:t>
      </w:r>
      <w:r w:rsidRPr="00C61037">
        <w:rPr>
          <w:rFonts w:ascii="Calibri" w:hAnsi="Calibri" w:cs="Calibri"/>
        </w:rPr>
        <w:t xml:space="preserve">Grants explicit KQL querying access across all raw Defender telemetry tables (DeviceEvents, EmailEvents, IdentityLogonEvents, CloudAppEvents) </w:t>
      </w:r>
      <w:r w:rsidRPr="00C61037">
        <w:rPr>
          <w:rFonts w:ascii="Calibri" w:hAnsi="Calibri" w:cs="Calibri"/>
          <w:vertAlign w:val="superscript"/>
        </w:rPr>
        <w:t>1</w:t>
      </w:r>
      <w:r w:rsidRPr="00C61037">
        <w:rPr>
          <w:rFonts w:ascii="Calibri" w:hAnsi="Calibri" w:cs="Calibri"/>
        </w:rPr>
        <w:t>.</w:t>
      </w:r>
    </w:p>
    <w:p w14:paraId="15698E08" w14:textId="77777777" w:rsidR="00605A25" w:rsidRPr="00C61037" w:rsidRDefault="00000000">
      <w:pPr>
        <w:pStyle w:val="ListBullet"/>
        <w:spacing w:after="60"/>
        <w:ind w:left="720"/>
        <w:rPr>
          <w:rFonts w:ascii="Calibri" w:hAnsi="Calibri" w:cs="Calibri"/>
        </w:rPr>
      </w:pPr>
      <w:r w:rsidRPr="00C61037">
        <w:rPr>
          <w:rFonts w:ascii="Calibri" w:hAnsi="Calibri" w:cs="Calibri"/>
          <w:b/>
          <w:color w:val="0F1C2E"/>
        </w:rPr>
        <w:lastRenderedPageBreak/>
        <w:t xml:space="preserve">Security posture / Security posture (Read): </w:t>
      </w:r>
      <w:r w:rsidRPr="00C61037">
        <w:rPr>
          <w:rFonts w:ascii="Calibri" w:hAnsi="Calibri" w:cs="Calibri"/>
        </w:rPr>
        <w:t>Provides read visibility into vulnerability management and security configurations.</w:t>
      </w:r>
    </w:p>
    <w:p w14:paraId="0D7A8A9F" w14:textId="77777777" w:rsidR="00605A25" w:rsidRPr="00C61037" w:rsidRDefault="00000000">
      <w:pPr>
        <w:keepNext/>
        <w:spacing w:before="200" w:after="80"/>
        <w:rPr>
          <w:rFonts w:ascii="Calibri" w:hAnsi="Calibri" w:cs="Calibri"/>
        </w:rPr>
      </w:pPr>
      <w:r w:rsidRPr="00C61037">
        <w:rPr>
          <w:rFonts w:ascii="Calibri" w:hAnsi="Calibri" w:cs="Calibri"/>
          <w:b/>
          <w:color w:val="005A9E"/>
          <w:sz w:val="21"/>
        </w:rPr>
        <w:t>C. Cross-Team Audit &amp; Permission Mapping Requirement for URBAC</w:t>
      </w:r>
    </w:p>
    <w:p w14:paraId="3124B4B4" w14:textId="451AA5CA" w:rsidR="00605A25" w:rsidRPr="00C61037" w:rsidRDefault="00000000" w:rsidP="00986FA2">
      <w:pPr>
        <w:spacing w:after="120"/>
        <w:jc w:val="both"/>
        <w:rPr>
          <w:rFonts w:ascii="Calibri" w:hAnsi="Calibri" w:cs="Calibri"/>
        </w:rPr>
      </w:pPr>
      <w:r w:rsidRPr="00C61037">
        <w:rPr>
          <w:rFonts w:ascii="Calibri" w:hAnsi="Calibri" w:cs="Calibri"/>
        </w:rPr>
        <w:t xml:space="preserve">Enabling Defender URBAC is a tenant-wide architectural change that impacts </w:t>
      </w:r>
      <w:r w:rsidRPr="00C61037">
        <w:rPr>
          <w:rFonts w:ascii="Calibri" w:hAnsi="Calibri" w:cs="Calibri"/>
          <w:b/>
        </w:rPr>
        <w:t>EVERY security team within the CyberDefense unit and adjacent departments</w:t>
      </w:r>
      <w:r w:rsidRPr="00C61037">
        <w:rPr>
          <w:rFonts w:ascii="Calibri" w:hAnsi="Calibri" w:cs="Calibri"/>
        </w:rPr>
        <w:t xml:space="preserve"> (e.g., Incident Response, Endpoint Management, Data Protection, and Identity Security) currently utilizing legacy portal roles or global Entra ID roles.</w:t>
      </w:r>
    </w:p>
    <w:p w14:paraId="6835270B" w14:textId="77777777" w:rsidR="00605A25" w:rsidRPr="00C61037" w:rsidRDefault="00000000" w:rsidP="00986FA2">
      <w:pPr>
        <w:pStyle w:val="ListBullet"/>
        <w:spacing w:after="60"/>
        <w:jc w:val="both"/>
        <w:rPr>
          <w:rFonts w:ascii="Calibri" w:hAnsi="Calibri" w:cs="Calibri"/>
        </w:rPr>
      </w:pPr>
      <w:r w:rsidRPr="00C61037">
        <w:rPr>
          <w:rFonts w:ascii="Calibri" w:hAnsi="Calibri" w:cs="Calibri"/>
          <w:b/>
          <w:color w:val="0F1C2E"/>
        </w:rPr>
        <w:t xml:space="preserve">Comprehensive Permission Inventory: </w:t>
      </w:r>
      <w:r w:rsidRPr="00C61037">
        <w:rPr>
          <w:rFonts w:ascii="Calibri" w:hAnsi="Calibri" w:cs="Calibri"/>
        </w:rPr>
        <w:t>Prior to activating URBAC for any workload, a comprehensive audit must inventory all current permissions, global Entra ID roles (e.g., Security Operator, Security Admin), and legacy portal roles assigned across all CyberDefense teams.</w:t>
      </w:r>
    </w:p>
    <w:p w14:paraId="5A27C00A" w14:textId="3AFE7D5A" w:rsidR="00605A25" w:rsidRPr="00C61037" w:rsidRDefault="00000000" w:rsidP="00986FA2">
      <w:pPr>
        <w:pStyle w:val="ListBullet"/>
        <w:spacing w:after="60"/>
        <w:jc w:val="both"/>
        <w:rPr>
          <w:rFonts w:ascii="Calibri" w:hAnsi="Calibri" w:cs="Calibri"/>
        </w:rPr>
      </w:pPr>
      <w:r w:rsidRPr="00C61037">
        <w:rPr>
          <w:rFonts w:ascii="Calibri" w:hAnsi="Calibri" w:cs="Calibri"/>
          <w:b/>
          <w:color w:val="0F1C2E"/>
        </w:rPr>
        <w:t xml:space="preserve">Cross-Team Role Translation Matrix: </w:t>
      </w:r>
      <w:r w:rsidRPr="00C61037">
        <w:rPr>
          <w:rFonts w:ascii="Calibri" w:hAnsi="Calibri" w:cs="Calibri"/>
        </w:rPr>
        <w:t xml:space="preserve">Each legacy role assignment across every team must be explicitly mapped to equivalent custom or built-in URBAC roles in Defender. Enabling URBAC without prior cross-team mapping will instantly cut off operational permissions for non-migrated teams </w:t>
      </w:r>
      <w:r w:rsidRPr="00C61037">
        <w:rPr>
          <w:rFonts w:ascii="Calibri" w:hAnsi="Calibri" w:cs="Calibri"/>
          <w:vertAlign w:val="superscript"/>
        </w:rPr>
        <w:t>1</w:t>
      </w:r>
      <w:r w:rsidRPr="00C61037">
        <w:rPr>
          <w:rFonts w:ascii="Calibri" w:hAnsi="Calibri" w:cs="Calibri"/>
        </w:rPr>
        <w:t>.</w:t>
      </w:r>
    </w:p>
    <w:p w14:paraId="41FF20D1" w14:textId="1FA40D26" w:rsidR="00605A25" w:rsidRPr="00C61037" w:rsidRDefault="00000000" w:rsidP="00986FA2">
      <w:pPr>
        <w:pStyle w:val="ListBullet"/>
        <w:spacing w:after="60"/>
        <w:jc w:val="both"/>
        <w:rPr>
          <w:rFonts w:ascii="Calibri" w:hAnsi="Calibri" w:cs="Calibri"/>
        </w:rPr>
      </w:pPr>
      <w:r w:rsidRPr="00C61037">
        <w:rPr>
          <w:rFonts w:ascii="Calibri" w:hAnsi="Calibri" w:cs="Calibri"/>
          <w:b/>
          <w:color w:val="0F1C2E"/>
        </w:rPr>
        <w:t xml:space="preserve">Joint Validation &amp; Testing: </w:t>
      </w:r>
      <w:r w:rsidRPr="00C61037">
        <w:rPr>
          <w:rFonts w:ascii="Calibri" w:hAnsi="Calibri" w:cs="Calibri"/>
        </w:rPr>
        <w:t>URBAC permission models must be validated in staging/pilot groups across SOC, Incident Response, and Detection Engineering to guarantee zero operational downtime during activation</w:t>
      </w:r>
      <w:r w:rsidR="00C61037">
        <w:rPr>
          <w:rFonts w:ascii="Calibri" w:hAnsi="Calibri" w:cs="Calibri"/>
        </w:rPr>
        <w:t xml:space="preserve"> </w:t>
      </w:r>
      <w:r w:rsidRPr="00C61037">
        <w:rPr>
          <w:rFonts w:ascii="Calibri" w:hAnsi="Calibri" w:cs="Calibri"/>
          <w:vertAlign w:val="superscript"/>
        </w:rPr>
        <w:t>1</w:t>
      </w:r>
      <w:r w:rsidRPr="00C61037">
        <w:rPr>
          <w:rFonts w:ascii="Calibri" w:hAnsi="Calibri" w:cs="Calibri"/>
        </w:rPr>
        <w:t>.</w:t>
      </w:r>
    </w:p>
    <w:p w14:paraId="739ABBF4" w14:textId="77777777" w:rsidR="00605A25" w:rsidRPr="00C61037" w:rsidRDefault="00000000">
      <w:pPr>
        <w:keepNext/>
        <w:spacing w:before="200" w:after="80"/>
        <w:rPr>
          <w:rFonts w:ascii="Calibri" w:hAnsi="Calibri" w:cs="Calibri"/>
        </w:rPr>
      </w:pPr>
      <w:r w:rsidRPr="00C61037">
        <w:rPr>
          <w:rFonts w:ascii="Calibri" w:hAnsi="Calibri" w:cs="Calibri"/>
          <w:b/>
          <w:color w:val="005A9E"/>
          <w:sz w:val="21"/>
        </w:rPr>
        <w:t>D. Legacy Access Model Deprecation &amp; CyberDefense Unit Roadmap</w:t>
      </w:r>
    </w:p>
    <w:p w14:paraId="12296B2A" w14:textId="77777777" w:rsidR="00605A25" w:rsidRPr="00C61037" w:rsidRDefault="00000000">
      <w:pPr>
        <w:spacing w:after="120"/>
        <w:rPr>
          <w:rFonts w:ascii="Calibri" w:hAnsi="Calibri" w:cs="Calibri"/>
        </w:rPr>
      </w:pPr>
      <w:r w:rsidRPr="00C61037">
        <w:rPr>
          <w:rFonts w:ascii="Calibri" w:hAnsi="Calibri" w:cs="Calibri"/>
        </w:rPr>
        <w:t>The CyberDefense unit must align its final URBAC migration roadmap with Microsoft's official deprecation timeline:</w:t>
      </w:r>
    </w:p>
    <w:tbl>
      <w:tblPr>
        <w:tblW w:w="0" w:type="auto"/>
        <w:jc w:val="center"/>
        <w:tblLook w:val="04A0" w:firstRow="1" w:lastRow="0" w:firstColumn="1" w:lastColumn="0" w:noHBand="0" w:noVBand="1"/>
      </w:tblPr>
      <w:tblGrid>
        <w:gridCol w:w="9936"/>
      </w:tblGrid>
      <w:tr w:rsidR="00605A25" w:rsidRPr="00C61037" w14:paraId="720D1B83" w14:textId="77777777">
        <w:trPr>
          <w:jc w:val="center"/>
        </w:trPr>
        <w:tc>
          <w:tcPr>
            <w:tcW w:w="9936" w:type="dxa"/>
            <w:shd w:val="clear" w:color="auto" w:fill="FEF2F2"/>
            <w:tcMar>
              <w:top w:w="100" w:type="dxa"/>
              <w:left w:w="120" w:type="dxa"/>
              <w:bottom w:w="100" w:type="dxa"/>
              <w:right w:w="120" w:type="dxa"/>
            </w:tcMar>
          </w:tcPr>
          <w:p w14:paraId="5A00F6E8" w14:textId="66872482" w:rsidR="00605A25" w:rsidRPr="00B00D31" w:rsidRDefault="00000000">
            <w:pPr>
              <w:spacing w:after="0"/>
              <w:rPr>
                <w:rFonts w:ascii="Calibri" w:hAnsi="Calibri" w:cs="Calibri"/>
                <w:szCs w:val="20"/>
              </w:rPr>
            </w:pPr>
            <w:r w:rsidRPr="00B00D31">
              <w:rPr>
                <w:rFonts w:ascii="Calibri" w:hAnsi="Calibri" w:cs="Calibri"/>
                <w:b/>
                <w:color w:val="B40000"/>
                <w:szCs w:val="20"/>
              </w:rPr>
              <w:t>MANDATORY DEPRECATION DEADLINE: MARCH 31, 2027</w:t>
            </w:r>
            <w:r w:rsidRPr="00B00D31">
              <w:rPr>
                <w:rFonts w:ascii="Calibri" w:hAnsi="Calibri" w:cs="Calibri"/>
                <w:b/>
                <w:color w:val="B40000"/>
                <w:szCs w:val="20"/>
              </w:rPr>
              <w:br/>
            </w:r>
            <w:r w:rsidRPr="00B00D31">
              <w:rPr>
                <w:rFonts w:ascii="Calibri" w:hAnsi="Calibri" w:cs="Calibri"/>
                <w:szCs w:val="20"/>
              </w:rPr>
              <w:t xml:space="preserve">• Microsoft Sentinel in Azure Portal Support End: March 31, 2027. Microsoft has officially confirmed that support for Sentinel in the Azure Portal will end on March 31, 2027, making the Defender Portal the sole operational interface </w:t>
            </w:r>
            <w:r w:rsidRPr="00B00D31">
              <w:rPr>
                <w:rFonts w:ascii="Calibri" w:hAnsi="Calibri" w:cs="Calibri"/>
                <w:szCs w:val="20"/>
                <w:vertAlign w:val="superscript"/>
              </w:rPr>
              <w:t>1, 2</w:t>
            </w:r>
            <w:r w:rsidR="00C61037" w:rsidRPr="00B00D31">
              <w:rPr>
                <w:rFonts w:ascii="Calibri" w:hAnsi="Calibri" w:cs="Calibri"/>
                <w:szCs w:val="20"/>
              </w:rPr>
              <w:t>.</w:t>
            </w:r>
            <w:r w:rsidRPr="00B00D31">
              <w:rPr>
                <w:rFonts w:ascii="Calibri" w:hAnsi="Calibri" w:cs="Calibri"/>
                <w:szCs w:val="20"/>
              </w:rPr>
              <w:br/>
              <w:t xml:space="preserve">• Mandatory URBAC Cutover Requirement: Because legacy Azure Sentinel RBAC roles (such as Sentinel Contributor) do not carry over into the Microsoft Defender Portal, ALL teams across the CyberDefense unit must fully migrate to Defender Unified RBAC prior to March 31, 2027 </w:t>
            </w:r>
            <w:r w:rsidRPr="00B00D31">
              <w:rPr>
                <w:rFonts w:ascii="Calibri" w:hAnsi="Calibri" w:cs="Calibri"/>
                <w:szCs w:val="20"/>
                <w:vertAlign w:val="superscript"/>
              </w:rPr>
              <w:t>1, 2</w:t>
            </w:r>
            <w:r w:rsidRPr="00B00D31">
              <w:rPr>
                <w:rFonts w:ascii="Calibri" w:hAnsi="Calibri" w:cs="Calibri"/>
                <w:szCs w:val="20"/>
              </w:rPr>
              <w:t>.</w:t>
            </w:r>
            <w:r w:rsidRPr="00B00D31">
              <w:rPr>
                <w:rFonts w:ascii="Calibri" w:hAnsi="Calibri" w:cs="Calibri"/>
                <w:szCs w:val="20"/>
              </w:rPr>
              <w:br/>
              <w:t xml:space="preserve">• Strategic Sequencing: Granting Purview, DLP, and Insider Risk roles immediately unblocks Detection Engineering today, allowing the broader URBAC migration for Defender XDR to be executed systematically across CyberDefense before March 31, 2027 </w:t>
            </w:r>
            <w:r w:rsidRPr="00B00D31">
              <w:rPr>
                <w:rFonts w:ascii="Calibri" w:hAnsi="Calibri" w:cs="Calibri"/>
                <w:szCs w:val="20"/>
                <w:vertAlign w:val="superscript"/>
              </w:rPr>
              <w:t>1</w:t>
            </w:r>
            <w:r w:rsidRPr="00B00D31">
              <w:rPr>
                <w:rFonts w:ascii="Calibri" w:hAnsi="Calibri" w:cs="Calibri"/>
                <w:szCs w:val="20"/>
              </w:rPr>
              <w:t>.</w:t>
            </w:r>
          </w:p>
        </w:tc>
      </w:tr>
    </w:tbl>
    <w:p w14:paraId="7BE56CBE" w14:textId="77777777" w:rsidR="00605A25" w:rsidRPr="00C61037" w:rsidRDefault="00605A25">
      <w:pPr>
        <w:spacing w:after="120"/>
        <w:rPr>
          <w:rFonts w:ascii="Calibri" w:hAnsi="Calibri" w:cs="Calibri"/>
        </w:rPr>
      </w:pPr>
    </w:p>
    <w:p w14:paraId="2B89B47A" w14:textId="77777777" w:rsidR="00605A25" w:rsidRPr="00C61037" w:rsidRDefault="00000000">
      <w:pPr>
        <w:keepNext/>
        <w:spacing w:before="200" w:after="80"/>
        <w:rPr>
          <w:rFonts w:ascii="Calibri" w:hAnsi="Calibri" w:cs="Calibri"/>
        </w:rPr>
      </w:pPr>
      <w:r w:rsidRPr="00C61037">
        <w:rPr>
          <w:rFonts w:ascii="Calibri" w:hAnsi="Calibri" w:cs="Calibri"/>
          <w:b/>
          <w:color w:val="005A9E"/>
          <w:sz w:val="21"/>
        </w:rPr>
        <w:t>E. Target Access Model Summary Matrix</w:t>
      </w:r>
    </w:p>
    <w:tbl>
      <w:tblPr>
        <w:tblW w:w="0" w:type="auto"/>
        <w:jc w:val="center"/>
        <w:tblBorders>
          <w:top w:val="single" w:sz="4" w:space="0" w:color="D8E2EC"/>
          <w:bottom w:val="single" w:sz="4" w:space="0" w:color="D8E2EC"/>
          <w:insideH w:val="single" w:sz="4" w:space="0" w:color="D8E2EC"/>
        </w:tblBorders>
        <w:tblLook w:val="04A0" w:firstRow="1" w:lastRow="0" w:firstColumn="1" w:lastColumn="0" w:noHBand="0" w:noVBand="1"/>
      </w:tblPr>
      <w:tblGrid>
        <w:gridCol w:w="2484"/>
        <w:gridCol w:w="2484"/>
        <w:gridCol w:w="2484"/>
        <w:gridCol w:w="2484"/>
      </w:tblGrid>
      <w:tr w:rsidR="00605A25" w:rsidRPr="00C61037" w14:paraId="66FD8E01" w14:textId="77777777">
        <w:trPr>
          <w:jc w:val="center"/>
        </w:trPr>
        <w:tc>
          <w:tcPr>
            <w:tcW w:w="2484" w:type="dxa"/>
            <w:shd w:val="clear" w:color="auto" w:fill="0F1C2E"/>
            <w:tcMar>
              <w:top w:w="100" w:type="dxa"/>
              <w:left w:w="100" w:type="dxa"/>
              <w:bottom w:w="100" w:type="dxa"/>
              <w:right w:w="100" w:type="dxa"/>
            </w:tcMar>
          </w:tcPr>
          <w:p w14:paraId="5CDD851C" w14:textId="77777777" w:rsidR="00605A25" w:rsidRPr="00C61037" w:rsidRDefault="00000000">
            <w:pPr>
              <w:spacing w:after="0"/>
              <w:rPr>
                <w:rFonts w:ascii="Calibri" w:hAnsi="Calibri" w:cs="Calibri"/>
              </w:rPr>
            </w:pPr>
            <w:r w:rsidRPr="00C61037">
              <w:rPr>
                <w:rFonts w:ascii="Calibri" w:hAnsi="Calibri" w:cs="Calibri"/>
                <w:b/>
                <w:color w:val="FFFFFF"/>
                <w:sz w:val="17"/>
              </w:rPr>
              <w:t>Security Domain</w:t>
            </w:r>
          </w:p>
        </w:tc>
        <w:tc>
          <w:tcPr>
            <w:tcW w:w="2484" w:type="dxa"/>
            <w:shd w:val="clear" w:color="auto" w:fill="0F1C2E"/>
            <w:tcMar>
              <w:top w:w="100" w:type="dxa"/>
              <w:left w:w="100" w:type="dxa"/>
              <w:bottom w:w="100" w:type="dxa"/>
              <w:right w:w="100" w:type="dxa"/>
            </w:tcMar>
          </w:tcPr>
          <w:p w14:paraId="39486661" w14:textId="77777777" w:rsidR="00605A25" w:rsidRPr="00C61037" w:rsidRDefault="00000000">
            <w:pPr>
              <w:spacing w:after="0"/>
              <w:rPr>
                <w:rFonts w:ascii="Calibri" w:hAnsi="Calibri" w:cs="Calibri"/>
              </w:rPr>
            </w:pPr>
            <w:r w:rsidRPr="00C61037">
              <w:rPr>
                <w:rFonts w:ascii="Calibri" w:hAnsi="Calibri" w:cs="Calibri"/>
                <w:b/>
                <w:color w:val="FFFFFF"/>
                <w:sz w:val="17"/>
              </w:rPr>
              <w:t>Activated PIM Role</w:t>
            </w:r>
          </w:p>
        </w:tc>
        <w:tc>
          <w:tcPr>
            <w:tcW w:w="2484" w:type="dxa"/>
            <w:shd w:val="clear" w:color="auto" w:fill="0F1C2E"/>
            <w:tcMar>
              <w:top w:w="100" w:type="dxa"/>
              <w:left w:w="100" w:type="dxa"/>
              <w:bottom w:w="100" w:type="dxa"/>
              <w:right w:w="100" w:type="dxa"/>
            </w:tcMar>
          </w:tcPr>
          <w:p w14:paraId="298C5D99" w14:textId="77777777" w:rsidR="00605A25" w:rsidRPr="00C61037" w:rsidRDefault="00000000">
            <w:pPr>
              <w:spacing w:after="0"/>
              <w:rPr>
                <w:rFonts w:ascii="Calibri" w:hAnsi="Calibri" w:cs="Calibri"/>
              </w:rPr>
            </w:pPr>
            <w:r w:rsidRPr="00C61037">
              <w:rPr>
                <w:rFonts w:ascii="Calibri" w:hAnsi="Calibri" w:cs="Calibri"/>
                <w:b/>
                <w:color w:val="FFFFFF"/>
                <w:sz w:val="17"/>
              </w:rPr>
              <w:t>Actual Operational Capability</w:t>
            </w:r>
          </w:p>
        </w:tc>
        <w:tc>
          <w:tcPr>
            <w:tcW w:w="2484" w:type="dxa"/>
            <w:shd w:val="clear" w:color="auto" w:fill="0F1C2E"/>
            <w:tcMar>
              <w:top w:w="100" w:type="dxa"/>
              <w:left w:w="100" w:type="dxa"/>
              <w:bottom w:w="100" w:type="dxa"/>
              <w:right w:w="100" w:type="dxa"/>
            </w:tcMar>
          </w:tcPr>
          <w:p w14:paraId="08EF7F91" w14:textId="77777777" w:rsidR="00605A25" w:rsidRPr="00C61037" w:rsidRDefault="00000000">
            <w:pPr>
              <w:spacing w:after="0"/>
              <w:rPr>
                <w:rFonts w:ascii="Calibri" w:hAnsi="Calibri" w:cs="Calibri"/>
              </w:rPr>
            </w:pPr>
            <w:r w:rsidRPr="00C61037">
              <w:rPr>
                <w:rFonts w:ascii="Calibri" w:hAnsi="Calibri" w:cs="Calibri"/>
                <w:b/>
                <w:color w:val="FFFFFF"/>
                <w:sz w:val="17"/>
              </w:rPr>
              <w:t>Visibility &amp; Governance Gap Analysis</w:t>
            </w:r>
          </w:p>
        </w:tc>
      </w:tr>
      <w:tr w:rsidR="00605A25" w:rsidRPr="00C61037" w14:paraId="1B6F000B" w14:textId="77777777">
        <w:trPr>
          <w:jc w:val="center"/>
        </w:trPr>
        <w:tc>
          <w:tcPr>
            <w:tcW w:w="2484" w:type="dxa"/>
            <w:tcMar>
              <w:top w:w="80" w:type="dxa"/>
              <w:left w:w="100" w:type="dxa"/>
              <w:bottom w:w="80" w:type="dxa"/>
              <w:right w:w="100" w:type="dxa"/>
            </w:tcMar>
          </w:tcPr>
          <w:p w14:paraId="283D9C46" w14:textId="77777777" w:rsidR="00605A25" w:rsidRPr="00C61037" w:rsidRDefault="00000000">
            <w:pPr>
              <w:spacing w:after="0"/>
              <w:rPr>
                <w:rFonts w:ascii="Calibri" w:hAnsi="Calibri" w:cs="Calibri"/>
              </w:rPr>
            </w:pPr>
            <w:r w:rsidRPr="00C61037">
              <w:rPr>
                <w:rFonts w:ascii="Calibri" w:hAnsi="Calibri" w:cs="Calibri"/>
                <w:sz w:val="17"/>
              </w:rPr>
              <w:t>Microsoft Sentinel</w:t>
            </w:r>
          </w:p>
        </w:tc>
        <w:tc>
          <w:tcPr>
            <w:tcW w:w="2484" w:type="dxa"/>
            <w:tcMar>
              <w:top w:w="80" w:type="dxa"/>
              <w:left w:w="100" w:type="dxa"/>
              <w:bottom w:w="80" w:type="dxa"/>
              <w:right w:w="100" w:type="dxa"/>
            </w:tcMar>
          </w:tcPr>
          <w:p w14:paraId="5EA0F016" w14:textId="77777777" w:rsidR="00605A25" w:rsidRPr="00C61037" w:rsidRDefault="00000000">
            <w:pPr>
              <w:spacing w:after="0"/>
              <w:rPr>
                <w:rFonts w:ascii="Calibri" w:hAnsi="Calibri" w:cs="Calibri"/>
              </w:rPr>
            </w:pPr>
            <w:r w:rsidRPr="00C61037">
              <w:rPr>
                <w:rFonts w:ascii="Calibri" w:hAnsi="Calibri" w:cs="Calibri"/>
                <w:sz w:val="17"/>
              </w:rPr>
              <w:t>Azure RBAC</w:t>
            </w:r>
          </w:p>
        </w:tc>
        <w:tc>
          <w:tcPr>
            <w:tcW w:w="2484" w:type="dxa"/>
            <w:tcMar>
              <w:top w:w="80" w:type="dxa"/>
              <w:left w:w="100" w:type="dxa"/>
              <w:bottom w:w="80" w:type="dxa"/>
              <w:right w:w="100" w:type="dxa"/>
            </w:tcMar>
          </w:tcPr>
          <w:p w14:paraId="5F2760D8" w14:textId="77777777" w:rsidR="00605A25" w:rsidRPr="00C61037" w:rsidRDefault="00000000">
            <w:pPr>
              <w:spacing w:after="0"/>
              <w:rPr>
                <w:rFonts w:ascii="Calibri" w:hAnsi="Calibri" w:cs="Calibri"/>
              </w:rPr>
            </w:pPr>
            <w:r w:rsidRPr="00C61037">
              <w:rPr>
                <w:rFonts w:ascii="Calibri" w:hAnsi="Calibri" w:cs="Calibri"/>
                <w:sz w:val="17"/>
              </w:rPr>
              <w:t>Sentinel Contributor (PIM Eligible)</w:t>
            </w:r>
          </w:p>
        </w:tc>
        <w:tc>
          <w:tcPr>
            <w:tcW w:w="2484" w:type="dxa"/>
            <w:tcMar>
              <w:top w:w="80" w:type="dxa"/>
              <w:left w:w="100" w:type="dxa"/>
              <w:bottom w:w="80" w:type="dxa"/>
              <w:right w:w="100" w:type="dxa"/>
            </w:tcMar>
          </w:tcPr>
          <w:p w14:paraId="04BB2B0B" w14:textId="77777777" w:rsidR="00605A25" w:rsidRPr="00C61037" w:rsidRDefault="00000000">
            <w:pPr>
              <w:spacing w:after="0"/>
              <w:rPr>
                <w:rFonts w:ascii="Calibri" w:hAnsi="Calibri" w:cs="Calibri"/>
              </w:rPr>
            </w:pPr>
            <w:r w:rsidRPr="00C61037">
              <w:rPr>
                <w:rFonts w:ascii="Calibri" w:hAnsi="Calibri" w:cs="Calibri"/>
                <w:sz w:val="17"/>
              </w:rPr>
              <w:t>Full ownership: Rule creation, workbook design, SOAR playbook management upon PIM activation.</w:t>
            </w:r>
          </w:p>
        </w:tc>
      </w:tr>
      <w:tr w:rsidR="00605A25" w:rsidRPr="00C61037" w14:paraId="6D273E92" w14:textId="77777777">
        <w:trPr>
          <w:jc w:val="center"/>
        </w:trPr>
        <w:tc>
          <w:tcPr>
            <w:tcW w:w="2484" w:type="dxa"/>
            <w:shd w:val="clear" w:color="auto" w:fill="F4F7FA"/>
            <w:tcMar>
              <w:top w:w="80" w:type="dxa"/>
              <w:left w:w="100" w:type="dxa"/>
              <w:bottom w:w="80" w:type="dxa"/>
              <w:right w:w="100" w:type="dxa"/>
            </w:tcMar>
          </w:tcPr>
          <w:p w14:paraId="0C615E92" w14:textId="77777777" w:rsidR="00605A25" w:rsidRPr="00C61037" w:rsidRDefault="00000000">
            <w:pPr>
              <w:spacing w:after="0"/>
              <w:rPr>
                <w:rFonts w:ascii="Calibri" w:hAnsi="Calibri" w:cs="Calibri"/>
              </w:rPr>
            </w:pPr>
            <w:r w:rsidRPr="00C61037">
              <w:rPr>
                <w:rFonts w:ascii="Calibri" w:hAnsi="Calibri" w:cs="Calibri"/>
                <w:sz w:val="17"/>
              </w:rPr>
              <w:t>Microsoft Purview &amp; DLP</w:t>
            </w:r>
          </w:p>
        </w:tc>
        <w:tc>
          <w:tcPr>
            <w:tcW w:w="2484" w:type="dxa"/>
            <w:shd w:val="clear" w:color="auto" w:fill="F4F7FA"/>
            <w:tcMar>
              <w:top w:w="80" w:type="dxa"/>
              <w:left w:w="100" w:type="dxa"/>
              <w:bottom w:w="80" w:type="dxa"/>
              <w:right w:w="100" w:type="dxa"/>
            </w:tcMar>
          </w:tcPr>
          <w:p w14:paraId="0E75BFD7" w14:textId="77777777" w:rsidR="00605A25" w:rsidRPr="00C61037" w:rsidRDefault="00000000">
            <w:pPr>
              <w:spacing w:after="0"/>
              <w:rPr>
                <w:rFonts w:ascii="Calibri" w:hAnsi="Calibri" w:cs="Calibri"/>
              </w:rPr>
            </w:pPr>
            <w:r w:rsidRPr="00C61037">
              <w:rPr>
                <w:rFonts w:ascii="Calibri" w:hAnsi="Calibri" w:cs="Calibri"/>
                <w:sz w:val="17"/>
              </w:rPr>
              <w:t>Purview Compliance RBAC</w:t>
            </w:r>
          </w:p>
        </w:tc>
        <w:tc>
          <w:tcPr>
            <w:tcW w:w="2484" w:type="dxa"/>
            <w:shd w:val="clear" w:color="auto" w:fill="F4F7FA"/>
            <w:tcMar>
              <w:top w:w="80" w:type="dxa"/>
              <w:left w:w="100" w:type="dxa"/>
              <w:bottom w:w="80" w:type="dxa"/>
              <w:right w:w="100" w:type="dxa"/>
            </w:tcMar>
          </w:tcPr>
          <w:p w14:paraId="564D4271" w14:textId="77777777" w:rsidR="00605A25" w:rsidRPr="00C61037" w:rsidRDefault="00000000">
            <w:pPr>
              <w:spacing w:after="0"/>
              <w:rPr>
                <w:rFonts w:ascii="Calibri" w:hAnsi="Calibri" w:cs="Calibri"/>
              </w:rPr>
            </w:pPr>
            <w:r w:rsidRPr="00C61037">
              <w:rPr>
                <w:rFonts w:ascii="Calibri" w:hAnsi="Calibri" w:cs="Calibri"/>
                <w:sz w:val="17"/>
              </w:rPr>
              <w:t>Compliance Reader + View-Only DLP (Group Mapped)</w:t>
            </w:r>
          </w:p>
        </w:tc>
        <w:tc>
          <w:tcPr>
            <w:tcW w:w="2484" w:type="dxa"/>
            <w:shd w:val="clear" w:color="auto" w:fill="F4F7FA"/>
            <w:tcMar>
              <w:top w:w="80" w:type="dxa"/>
              <w:left w:w="100" w:type="dxa"/>
              <w:bottom w:w="80" w:type="dxa"/>
              <w:right w:w="100" w:type="dxa"/>
            </w:tcMar>
          </w:tcPr>
          <w:p w14:paraId="6CFAD0C0" w14:textId="77777777" w:rsidR="00605A25" w:rsidRPr="00C61037" w:rsidRDefault="00000000">
            <w:pPr>
              <w:spacing w:after="0"/>
              <w:rPr>
                <w:rFonts w:ascii="Calibri" w:hAnsi="Calibri" w:cs="Calibri"/>
              </w:rPr>
            </w:pPr>
            <w:r w:rsidRPr="00C61037">
              <w:rPr>
                <w:rFonts w:ascii="Calibri" w:hAnsi="Calibri" w:cs="Calibri"/>
                <w:sz w:val="17"/>
              </w:rPr>
              <w:t>IMMEDIATE ACTION: Read-only inspection of DLP policy logic, SIT regex/dictionaries, and exfiltration alerts.</w:t>
            </w:r>
          </w:p>
        </w:tc>
      </w:tr>
      <w:tr w:rsidR="00605A25" w:rsidRPr="00C61037" w14:paraId="7B0954A7" w14:textId="77777777">
        <w:trPr>
          <w:jc w:val="center"/>
        </w:trPr>
        <w:tc>
          <w:tcPr>
            <w:tcW w:w="2484" w:type="dxa"/>
            <w:tcMar>
              <w:top w:w="80" w:type="dxa"/>
              <w:left w:w="100" w:type="dxa"/>
              <w:bottom w:w="80" w:type="dxa"/>
              <w:right w:w="100" w:type="dxa"/>
            </w:tcMar>
          </w:tcPr>
          <w:p w14:paraId="15986BBD" w14:textId="77777777" w:rsidR="00605A25" w:rsidRPr="00C61037" w:rsidRDefault="00000000">
            <w:pPr>
              <w:spacing w:after="0"/>
              <w:rPr>
                <w:rFonts w:ascii="Calibri" w:hAnsi="Calibri" w:cs="Calibri"/>
              </w:rPr>
            </w:pPr>
            <w:r w:rsidRPr="00C61037">
              <w:rPr>
                <w:rFonts w:ascii="Calibri" w:hAnsi="Calibri" w:cs="Calibri"/>
                <w:sz w:val="17"/>
              </w:rPr>
              <w:t>Insider Risk Management</w:t>
            </w:r>
          </w:p>
        </w:tc>
        <w:tc>
          <w:tcPr>
            <w:tcW w:w="2484" w:type="dxa"/>
            <w:tcMar>
              <w:top w:w="80" w:type="dxa"/>
              <w:left w:w="100" w:type="dxa"/>
              <w:bottom w:w="80" w:type="dxa"/>
              <w:right w:w="100" w:type="dxa"/>
            </w:tcMar>
          </w:tcPr>
          <w:p w14:paraId="1369FF84" w14:textId="77777777" w:rsidR="00605A25" w:rsidRPr="00C61037" w:rsidRDefault="00000000">
            <w:pPr>
              <w:spacing w:after="0"/>
              <w:rPr>
                <w:rFonts w:ascii="Calibri" w:hAnsi="Calibri" w:cs="Calibri"/>
              </w:rPr>
            </w:pPr>
            <w:r w:rsidRPr="00C61037">
              <w:rPr>
                <w:rFonts w:ascii="Calibri" w:hAnsi="Calibri" w:cs="Calibri"/>
                <w:sz w:val="17"/>
              </w:rPr>
              <w:t>Purview Compliance RBAC</w:t>
            </w:r>
          </w:p>
        </w:tc>
        <w:tc>
          <w:tcPr>
            <w:tcW w:w="2484" w:type="dxa"/>
            <w:tcMar>
              <w:top w:w="80" w:type="dxa"/>
              <w:left w:w="100" w:type="dxa"/>
              <w:bottom w:w="80" w:type="dxa"/>
              <w:right w:w="100" w:type="dxa"/>
            </w:tcMar>
          </w:tcPr>
          <w:p w14:paraId="647C13DD" w14:textId="77777777" w:rsidR="00605A25" w:rsidRPr="00C61037" w:rsidRDefault="00000000">
            <w:pPr>
              <w:spacing w:after="0"/>
              <w:rPr>
                <w:rFonts w:ascii="Calibri" w:hAnsi="Calibri" w:cs="Calibri"/>
              </w:rPr>
            </w:pPr>
            <w:r w:rsidRPr="00C61037">
              <w:rPr>
                <w:rFonts w:ascii="Calibri" w:hAnsi="Calibri" w:cs="Calibri"/>
                <w:sz w:val="17"/>
              </w:rPr>
              <w:t>Insider Risk Analyst / Reader (Group Mapped)</w:t>
            </w:r>
          </w:p>
        </w:tc>
        <w:tc>
          <w:tcPr>
            <w:tcW w:w="2484" w:type="dxa"/>
            <w:tcMar>
              <w:top w:w="80" w:type="dxa"/>
              <w:left w:w="100" w:type="dxa"/>
              <w:bottom w:w="80" w:type="dxa"/>
              <w:right w:w="100" w:type="dxa"/>
            </w:tcMar>
          </w:tcPr>
          <w:p w14:paraId="0712E5DF" w14:textId="77777777" w:rsidR="00605A25" w:rsidRPr="00C61037" w:rsidRDefault="00000000">
            <w:pPr>
              <w:spacing w:after="0"/>
              <w:rPr>
                <w:rFonts w:ascii="Calibri" w:hAnsi="Calibri" w:cs="Calibri"/>
              </w:rPr>
            </w:pPr>
            <w:r w:rsidRPr="00C61037">
              <w:rPr>
                <w:rFonts w:ascii="Calibri" w:hAnsi="Calibri" w:cs="Calibri"/>
                <w:sz w:val="17"/>
              </w:rPr>
              <w:t>IMMEDIATE ACTION: Read-only inspection of insider threat indicators, risk triggers, and user risk scores.</w:t>
            </w:r>
          </w:p>
        </w:tc>
      </w:tr>
      <w:tr w:rsidR="00605A25" w:rsidRPr="00C61037" w14:paraId="662CB079" w14:textId="77777777">
        <w:trPr>
          <w:jc w:val="center"/>
        </w:trPr>
        <w:tc>
          <w:tcPr>
            <w:tcW w:w="2484" w:type="dxa"/>
            <w:shd w:val="clear" w:color="auto" w:fill="F4F7FA"/>
            <w:tcMar>
              <w:top w:w="80" w:type="dxa"/>
              <w:left w:w="100" w:type="dxa"/>
              <w:bottom w:w="80" w:type="dxa"/>
              <w:right w:w="100" w:type="dxa"/>
            </w:tcMar>
          </w:tcPr>
          <w:p w14:paraId="30019729" w14:textId="77777777" w:rsidR="00605A25" w:rsidRPr="00C61037" w:rsidRDefault="00000000">
            <w:pPr>
              <w:spacing w:after="0"/>
              <w:rPr>
                <w:rFonts w:ascii="Calibri" w:hAnsi="Calibri" w:cs="Calibri"/>
              </w:rPr>
            </w:pPr>
            <w:r w:rsidRPr="00C61037">
              <w:rPr>
                <w:rFonts w:ascii="Calibri" w:hAnsi="Calibri" w:cs="Calibri"/>
                <w:sz w:val="17"/>
              </w:rPr>
              <w:t>Defender XDR</w:t>
            </w:r>
          </w:p>
        </w:tc>
        <w:tc>
          <w:tcPr>
            <w:tcW w:w="2484" w:type="dxa"/>
            <w:shd w:val="clear" w:color="auto" w:fill="F4F7FA"/>
            <w:tcMar>
              <w:top w:w="80" w:type="dxa"/>
              <w:left w:w="100" w:type="dxa"/>
              <w:bottom w:w="80" w:type="dxa"/>
              <w:right w:w="100" w:type="dxa"/>
            </w:tcMar>
          </w:tcPr>
          <w:p w14:paraId="4810C98D" w14:textId="77777777" w:rsidR="00605A25" w:rsidRPr="00C61037" w:rsidRDefault="00000000">
            <w:pPr>
              <w:spacing w:after="0"/>
              <w:rPr>
                <w:rFonts w:ascii="Calibri" w:hAnsi="Calibri" w:cs="Calibri"/>
              </w:rPr>
            </w:pPr>
            <w:r w:rsidRPr="00C61037">
              <w:rPr>
                <w:rFonts w:ascii="Calibri" w:hAnsi="Calibri" w:cs="Calibri"/>
                <w:sz w:val="17"/>
              </w:rPr>
              <w:t>Defender Unified RBAC</w:t>
            </w:r>
          </w:p>
        </w:tc>
        <w:tc>
          <w:tcPr>
            <w:tcW w:w="2484" w:type="dxa"/>
            <w:shd w:val="clear" w:color="auto" w:fill="F4F7FA"/>
            <w:tcMar>
              <w:top w:w="80" w:type="dxa"/>
              <w:left w:w="100" w:type="dxa"/>
              <w:bottom w:w="80" w:type="dxa"/>
              <w:right w:w="100" w:type="dxa"/>
            </w:tcMar>
          </w:tcPr>
          <w:p w14:paraId="4710EEE7" w14:textId="77777777" w:rsidR="00605A25" w:rsidRPr="00C61037" w:rsidRDefault="00000000">
            <w:pPr>
              <w:spacing w:after="0"/>
              <w:rPr>
                <w:rFonts w:ascii="Calibri" w:hAnsi="Calibri" w:cs="Calibri"/>
              </w:rPr>
            </w:pPr>
            <w:r w:rsidRPr="00C61037">
              <w:rPr>
                <w:rFonts w:ascii="Calibri" w:hAnsi="Calibri" w:cs="Calibri"/>
                <w:sz w:val="17"/>
              </w:rPr>
              <w:t>Custom URBAC: SecOps Reader (Group Mapped)</w:t>
            </w:r>
          </w:p>
        </w:tc>
        <w:tc>
          <w:tcPr>
            <w:tcW w:w="2484" w:type="dxa"/>
            <w:shd w:val="clear" w:color="auto" w:fill="F4F7FA"/>
            <w:tcMar>
              <w:top w:w="80" w:type="dxa"/>
              <w:left w:w="100" w:type="dxa"/>
              <w:bottom w:w="80" w:type="dxa"/>
              <w:right w:w="100" w:type="dxa"/>
            </w:tcMar>
          </w:tcPr>
          <w:p w14:paraId="6FA9F519" w14:textId="77777777" w:rsidR="00605A25" w:rsidRPr="00C61037" w:rsidRDefault="00000000">
            <w:pPr>
              <w:spacing w:after="0"/>
              <w:rPr>
                <w:rFonts w:ascii="Calibri" w:hAnsi="Calibri" w:cs="Calibri"/>
              </w:rPr>
            </w:pPr>
            <w:r w:rsidRPr="00C61037">
              <w:rPr>
                <w:rFonts w:ascii="Calibri" w:hAnsi="Calibri" w:cs="Calibri"/>
                <w:sz w:val="17"/>
              </w:rPr>
              <w:t xml:space="preserve">FINAL TARGET (Pre-March 31, 2027): Advanced hunting </w:t>
            </w:r>
            <w:r w:rsidRPr="00C61037">
              <w:rPr>
                <w:rFonts w:ascii="Calibri" w:hAnsi="Calibri" w:cs="Calibri"/>
                <w:sz w:val="17"/>
              </w:rPr>
              <w:lastRenderedPageBreak/>
              <w:t>schema, raw KQL queries, endpoint/identity threat signals.</w:t>
            </w:r>
          </w:p>
        </w:tc>
      </w:tr>
      <w:tr w:rsidR="00605A25" w:rsidRPr="00C61037" w14:paraId="60546F53" w14:textId="77777777">
        <w:trPr>
          <w:jc w:val="center"/>
        </w:trPr>
        <w:tc>
          <w:tcPr>
            <w:tcW w:w="2484" w:type="dxa"/>
            <w:tcMar>
              <w:top w:w="80" w:type="dxa"/>
              <w:left w:w="100" w:type="dxa"/>
              <w:bottom w:w="80" w:type="dxa"/>
              <w:right w:w="100" w:type="dxa"/>
            </w:tcMar>
          </w:tcPr>
          <w:p w14:paraId="5B7AFD7A" w14:textId="77777777" w:rsidR="00605A25" w:rsidRPr="00C61037" w:rsidRDefault="00000000">
            <w:pPr>
              <w:spacing w:after="0"/>
              <w:rPr>
                <w:rFonts w:ascii="Calibri" w:hAnsi="Calibri" w:cs="Calibri"/>
              </w:rPr>
            </w:pPr>
            <w:r w:rsidRPr="00C61037">
              <w:rPr>
                <w:rFonts w:ascii="Calibri" w:hAnsi="Calibri" w:cs="Calibri"/>
                <w:sz w:val="17"/>
              </w:rPr>
              <w:lastRenderedPageBreak/>
              <w:t>Entra ID Protection</w:t>
            </w:r>
          </w:p>
        </w:tc>
        <w:tc>
          <w:tcPr>
            <w:tcW w:w="2484" w:type="dxa"/>
            <w:tcMar>
              <w:top w:w="80" w:type="dxa"/>
              <w:left w:w="100" w:type="dxa"/>
              <w:bottom w:w="80" w:type="dxa"/>
              <w:right w:w="100" w:type="dxa"/>
            </w:tcMar>
          </w:tcPr>
          <w:p w14:paraId="185B2443" w14:textId="77777777" w:rsidR="00605A25" w:rsidRPr="00C61037" w:rsidRDefault="00000000">
            <w:pPr>
              <w:spacing w:after="0"/>
              <w:rPr>
                <w:rFonts w:ascii="Calibri" w:hAnsi="Calibri" w:cs="Calibri"/>
              </w:rPr>
            </w:pPr>
            <w:r w:rsidRPr="00C61037">
              <w:rPr>
                <w:rFonts w:ascii="Calibri" w:hAnsi="Calibri" w:cs="Calibri"/>
                <w:sz w:val="17"/>
              </w:rPr>
              <w:t>Entra ID Built-in RBAC</w:t>
            </w:r>
          </w:p>
        </w:tc>
        <w:tc>
          <w:tcPr>
            <w:tcW w:w="2484" w:type="dxa"/>
            <w:tcMar>
              <w:top w:w="80" w:type="dxa"/>
              <w:left w:w="100" w:type="dxa"/>
              <w:bottom w:w="80" w:type="dxa"/>
              <w:right w:w="100" w:type="dxa"/>
            </w:tcMar>
          </w:tcPr>
          <w:p w14:paraId="7B8AEA3D" w14:textId="77777777" w:rsidR="00605A25" w:rsidRPr="00C61037" w:rsidRDefault="00000000">
            <w:pPr>
              <w:spacing w:after="0"/>
              <w:rPr>
                <w:rFonts w:ascii="Calibri" w:hAnsi="Calibri" w:cs="Calibri"/>
              </w:rPr>
            </w:pPr>
            <w:r w:rsidRPr="00C61037">
              <w:rPr>
                <w:rFonts w:ascii="Calibri" w:hAnsi="Calibri" w:cs="Calibri"/>
                <w:sz w:val="17"/>
              </w:rPr>
              <w:t>Security Reader (PIM Eligible)</w:t>
            </w:r>
          </w:p>
        </w:tc>
        <w:tc>
          <w:tcPr>
            <w:tcW w:w="2484" w:type="dxa"/>
            <w:tcMar>
              <w:top w:w="80" w:type="dxa"/>
              <w:left w:w="100" w:type="dxa"/>
              <w:bottom w:w="80" w:type="dxa"/>
              <w:right w:w="100" w:type="dxa"/>
            </w:tcMar>
          </w:tcPr>
          <w:p w14:paraId="1B492671" w14:textId="77777777" w:rsidR="00605A25" w:rsidRPr="00C61037" w:rsidRDefault="00000000">
            <w:pPr>
              <w:spacing w:after="0"/>
              <w:rPr>
                <w:rFonts w:ascii="Calibri" w:hAnsi="Calibri" w:cs="Calibri"/>
              </w:rPr>
            </w:pPr>
            <w:r w:rsidRPr="00C61037">
              <w:rPr>
                <w:rFonts w:ascii="Calibri" w:hAnsi="Calibri" w:cs="Calibri"/>
                <w:sz w:val="17"/>
              </w:rPr>
              <w:t>Read-only: Risky user scores, identity risk detections, conditional access policy view.</w:t>
            </w:r>
          </w:p>
        </w:tc>
      </w:tr>
    </w:tbl>
    <w:p w14:paraId="223FBEC9" w14:textId="77777777" w:rsidR="00605A25" w:rsidRPr="00C61037" w:rsidRDefault="00605A25">
      <w:pPr>
        <w:spacing w:after="120"/>
        <w:rPr>
          <w:rFonts w:ascii="Calibri" w:hAnsi="Calibri" w:cs="Calibri"/>
        </w:rPr>
      </w:pPr>
    </w:p>
    <w:p w14:paraId="0286F3A0" w14:textId="77777777" w:rsidR="00605A25" w:rsidRPr="00C61037" w:rsidRDefault="00000000">
      <w:pPr>
        <w:keepNext/>
        <w:spacing w:before="280" w:after="120"/>
        <w:rPr>
          <w:rFonts w:ascii="Calibri" w:hAnsi="Calibri" w:cs="Calibri"/>
        </w:rPr>
      </w:pPr>
      <w:r w:rsidRPr="00C61037">
        <w:rPr>
          <w:rFonts w:ascii="Calibri" w:hAnsi="Calibri" w:cs="Calibri"/>
          <w:b/>
          <w:color w:val="0F1C2E"/>
          <w:sz w:val="24"/>
        </w:rPr>
        <w:t>4. IMPLEMENTATION ROADMAP &amp; GOVERNANCE</w:t>
      </w:r>
    </w:p>
    <w:p w14:paraId="0E3CE2FF" w14:textId="77777777" w:rsidR="00605A25" w:rsidRPr="00C61037" w:rsidRDefault="00000000">
      <w:pPr>
        <w:keepNext/>
        <w:spacing w:before="200" w:after="80"/>
        <w:rPr>
          <w:rFonts w:ascii="Calibri" w:hAnsi="Calibri" w:cs="Calibri"/>
        </w:rPr>
      </w:pPr>
      <w:r w:rsidRPr="00C61037">
        <w:rPr>
          <w:rFonts w:ascii="Calibri" w:hAnsi="Calibri" w:cs="Calibri"/>
          <w:b/>
          <w:color w:val="005A9E"/>
          <w:sz w:val="21"/>
        </w:rPr>
        <w:t>Phase 1: Immediate Execution — Purview, DLP &amp; Insider Risk Access</w:t>
      </w:r>
    </w:p>
    <w:p w14:paraId="50DD0803" w14:textId="77777777" w:rsidR="00605A25" w:rsidRPr="00C61037" w:rsidRDefault="00000000" w:rsidP="00986FA2">
      <w:pPr>
        <w:pStyle w:val="ListBullet"/>
        <w:spacing w:after="60"/>
        <w:jc w:val="both"/>
        <w:rPr>
          <w:rFonts w:ascii="Calibri" w:hAnsi="Calibri" w:cs="Calibri"/>
        </w:rPr>
      </w:pPr>
      <w:r w:rsidRPr="00C61037">
        <w:rPr>
          <w:rFonts w:ascii="Calibri" w:hAnsi="Calibri" w:cs="Calibri"/>
        </w:rPr>
        <w:t>Confirm the object ID and membership of Detection Engineering's existing Entra ID Security Group.</w:t>
      </w:r>
    </w:p>
    <w:p w14:paraId="4A892E7C" w14:textId="2997E7BD" w:rsidR="00605A25" w:rsidRPr="00C61037" w:rsidRDefault="00000000" w:rsidP="00986FA2">
      <w:pPr>
        <w:pStyle w:val="ListBullet"/>
        <w:spacing w:after="60"/>
        <w:jc w:val="both"/>
        <w:rPr>
          <w:rFonts w:ascii="Calibri" w:hAnsi="Calibri" w:cs="Calibri"/>
        </w:rPr>
      </w:pPr>
      <w:r w:rsidRPr="00C61037">
        <w:rPr>
          <w:rFonts w:ascii="Calibri" w:hAnsi="Calibri" w:cs="Calibri"/>
        </w:rPr>
        <w:t xml:space="preserve">Coordinate with a Purview Role Management Administrator to access </w:t>
      </w:r>
      <w:r w:rsidR="003378D7" w:rsidRPr="00C61037">
        <w:rPr>
          <w:rFonts w:ascii="Calibri" w:hAnsi="Calibri" w:cs="Calibri"/>
        </w:rPr>
        <w:t>Microsoft</w:t>
      </w:r>
      <w:r w:rsidRPr="00C61037">
        <w:rPr>
          <w:rFonts w:ascii="Calibri" w:hAnsi="Calibri" w:cs="Calibri"/>
        </w:rPr>
        <w:t xml:space="preserve"> Purview Portal</w:t>
      </w:r>
      <w:r w:rsidRPr="00C61037">
        <w:rPr>
          <w:rFonts w:ascii="Calibri" w:hAnsi="Calibri" w:cs="Calibri"/>
          <w:vertAlign w:val="superscript"/>
        </w:rPr>
        <w:t xml:space="preserve"> </w:t>
      </w:r>
      <w:r w:rsidR="00C61037" w:rsidRPr="00C61037">
        <w:rPr>
          <w:rFonts w:ascii="Calibri" w:hAnsi="Calibri" w:cs="Calibri"/>
          <w:vertAlign w:val="superscript"/>
        </w:rPr>
        <w:t>2</w:t>
      </w:r>
      <w:r w:rsidRPr="00C61037">
        <w:rPr>
          <w:rFonts w:ascii="Calibri" w:hAnsi="Calibri" w:cs="Calibri"/>
        </w:rPr>
        <w:t>.</w:t>
      </w:r>
    </w:p>
    <w:p w14:paraId="0BC92B42" w14:textId="04A3A55E" w:rsidR="00605A25" w:rsidRPr="00C61037" w:rsidRDefault="00000000" w:rsidP="00986FA2">
      <w:pPr>
        <w:pStyle w:val="ListBullet"/>
        <w:spacing w:after="60"/>
        <w:jc w:val="both"/>
        <w:rPr>
          <w:rFonts w:ascii="Calibri" w:hAnsi="Calibri" w:cs="Calibri"/>
        </w:rPr>
      </w:pPr>
      <w:r w:rsidRPr="00C61037">
        <w:rPr>
          <w:rFonts w:ascii="Calibri" w:hAnsi="Calibri" w:cs="Calibri"/>
        </w:rPr>
        <w:t>Add Detection Engineering's existing Entra ID Security Group to Compliance Reader, View-Only DLP Compliance Management, and Insider Risk Management Analysts/Readers role groups</w:t>
      </w:r>
      <w:r w:rsidR="00986FA2">
        <w:rPr>
          <w:rFonts w:ascii="Calibri" w:hAnsi="Calibri" w:cs="Calibri"/>
        </w:rPr>
        <w:t>, and IIQ</w:t>
      </w:r>
      <w:r w:rsidR="003378D7">
        <w:rPr>
          <w:rFonts w:ascii="Calibri" w:hAnsi="Calibri" w:cs="Calibri"/>
        </w:rPr>
        <w:t xml:space="preserve"> role assignment for detection engineering team members can also be used. </w:t>
      </w:r>
      <w:r w:rsidRPr="00C61037">
        <w:rPr>
          <w:rFonts w:ascii="Calibri" w:hAnsi="Calibri" w:cs="Calibri"/>
        </w:rPr>
        <w:t xml:space="preserve"> </w:t>
      </w:r>
      <w:r w:rsidRPr="00C61037">
        <w:rPr>
          <w:rFonts w:ascii="Calibri" w:hAnsi="Calibri" w:cs="Calibri"/>
          <w:vertAlign w:val="superscript"/>
        </w:rPr>
        <w:t>2, 3</w:t>
      </w:r>
      <w:r w:rsidRPr="00C61037">
        <w:rPr>
          <w:rFonts w:ascii="Calibri" w:hAnsi="Calibri" w:cs="Calibri"/>
        </w:rPr>
        <w:t>.</w:t>
      </w:r>
    </w:p>
    <w:p w14:paraId="3F8D3F25" w14:textId="77777777" w:rsidR="00605A25" w:rsidRPr="00C61037" w:rsidRDefault="00000000" w:rsidP="00986FA2">
      <w:pPr>
        <w:pStyle w:val="ListBullet"/>
        <w:spacing w:after="60"/>
        <w:jc w:val="both"/>
        <w:rPr>
          <w:rFonts w:ascii="Calibri" w:hAnsi="Calibri" w:cs="Calibri"/>
        </w:rPr>
      </w:pPr>
      <w:r w:rsidRPr="00C61037">
        <w:rPr>
          <w:rFonts w:ascii="Calibri" w:hAnsi="Calibri" w:cs="Calibri"/>
        </w:rPr>
        <w:t>Validate that Detection Engineering can inspect DLP rules, SIT definitions, and Insider Risk telemetry without delay.</w:t>
      </w:r>
    </w:p>
    <w:p w14:paraId="28BC42D0" w14:textId="77777777" w:rsidR="00605A25" w:rsidRPr="00C61037" w:rsidRDefault="00000000">
      <w:pPr>
        <w:keepNext/>
        <w:spacing w:before="200" w:after="80"/>
        <w:rPr>
          <w:rFonts w:ascii="Calibri" w:hAnsi="Calibri" w:cs="Calibri"/>
        </w:rPr>
      </w:pPr>
      <w:r w:rsidRPr="00C61037">
        <w:rPr>
          <w:rFonts w:ascii="Calibri" w:hAnsi="Calibri" w:cs="Calibri"/>
          <w:b/>
          <w:color w:val="005A9E"/>
          <w:sz w:val="21"/>
        </w:rPr>
        <w:t>Phase 2: CyberDefense Unit Cross-Team URBAC Audit &amp; Mapping</w:t>
      </w:r>
    </w:p>
    <w:p w14:paraId="595BED45" w14:textId="1A557E5B" w:rsidR="00605A25" w:rsidRPr="00C61037" w:rsidRDefault="00000000">
      <w:pPr>
        <w:pStyle w:val="ListBullet"/>
        <w:spacing w:after="60"/>
        <w:rPr>
          <w:rFonts w:ascii="Calibri" w:hAnsi="Calibri" w:cs="Calibri"/>
        </w:rPr>
      </w:pPr>
      <w:r w:rsidRPr="00C61037">
        <w:rPr>
          <w:rFonts w:ascii="Calibri" w:hAnsi="Calibri" w:cs="Calibri"/>
        </w:rPr>
        <w:t xml:space="preserve">Conduct a tenant-wide permission audit across all teams in the CyberDefense unit currently using legacy Defender portal or global Entra ID roles </w:t>
      </w:r>
      <w:r w:rsidRPr="00C61037">
        <w:rPr>
          <w:rFonts w:ascii="Calibri" w:hAnsi="Calibri" w:cs="Calibri"/>
          <w:vertAlign w:val="superscript"/>
        </w:rPr>
        <w:t>1</w:t>
      </w:r>
      <w:r w:rsidRPr="00C61037">
        <w:rPr>
          <w:rFonts w:ascii="Calibri" w:hAnsi="Calibri" w:cs="Calibri"/>
        </w:rPr>
        <w:t>.</w:t>
      </w:r>
    </w:p>
    <w:p w14:paraId="36AA4363" w14:textId="0242BE66" w:rsidR="00605A25" w:rsidRPr="00C61037" w:rsidRDefault="00000000">
      <w:pPr>
        <w:pStyle w:val="ListBullet"/>
        <w:spacing w:after="60"/>
        <w:rPr>
          <w:rFonts w:ascii="Calibri" w:hAnsi="Calibri" w:cs="Calibri"/>
        </w:rPr>
      </w:pPr>
      <w:r w:rsidRPr="00C61037">
        <w:rPr>
          <w:rFonts w:ascii="Calibri" w:hAnsi="Calibri" w:cs="Calibri"/>
        </w:rPr>
        <w:t xml:space="preserve">Draft a complete Role Mapping Matrix translating legacy role permissions for SOC, IR, and Endpoint teams into Defender URBAC equivalents </w:t>
      </w:r>
      <w:r w:rsidRPr="00C61037">
        <w:rPr>
          <w:rFonts w:ascii="Calibri" w:hAnsi="Calibri" w:cs="Calibri"/>
          <w:vertAlign w:val="superscript"/>
        </w:rPr>
        <w:t>1</w:t>
      </w:r>
      <w:r w:rsidRPr="00C61037">
        <w:rPr>
          <w:rFonts w:ascii="Calibri" w:hAnsi="Calibri" w:cs="Calibri"/>
        </w:rPr>
        <w:t>.</w:t>
      </w:r>
    </w:p>
    <w:p w14:paraId="3CE80634" w14:textId="77777777" w:rsidR="00605A25" w:rsidRPr="00C61037" w:rsidRDefault="00000000">
      <w:pPr>
        <w:keepNext/>
        <w:spacing w:before="200" w:after="80"/>
        <w:rPr>
          <w:rFonts w:ascii="Calibri" w:hAnsi="Calibri" w:cs="Calibri"/>
        </w:rPr>
      </w:pPr>
      <w:r w:rsidRPr="00C61037">
        <w:rPr>
          <w:rFonts w:ascii="Calibri" w:hAnsi="Calibri" w:cs="Calibri"/>
          <w:b/>
          <w:color w:val="005A9E"/>
          <w:sz w:val="21"/>
        </w:rPr>
        <w:t>Phase 3: Defender Unified RBAC Activation (Pre-March 31, 2027)</w:t>
      </w:r>
    </w:p>
    <w:p w14:paraId="2C42DF8B" w14:textId="689B8ACA" w:rsidR="00605A25" w:rsidRPr="00C61037" w:rsidRDefault="00000000" w:rsidP="00986FA2">
      <w:pPr>
        <w:pStyle w:val="ListBullet"/>
        <w:spacing w:after="60"/>
        <w:jc w:val="both"/>
        <w:rPr>
          <w:rFonts w:ascii="Calibri" w:hAnsi="Calibri" w:cs="Calibri"/>
        </w:rPr>
      </w:pPr>
      <w:r w:rsidRPr="00C61037">
        <w:rPr>
          <w:rFonts w:ascii="Calibri" w:hAnsi="Calibri" w:cs="Calibri"/>
        </w:rPr>
        <w:t xml:space="preserve">Navigate to Defender Portal &gt; </w:t>
      </w:r>
      <w:r w:rsidR="00986FA2">
        <w:rPr>
          <w:rFonts w:ascii="Calibri" w:hAnsi="Calibri" w:cs="Calibri"/>
        </w:rPr>
        <w:t xml:space="preserve">Systems &gt; </w:t>
      </w:r>
      <w:r w:rsidRPr="00C61037">
        <w:rPr>
          <w:rFonts w:ascii="Calibri" w:hAnsi="Calibri" w:cs="Calibri"/>
        </w:rPr>
        <w:t xml:space="preserve">Permissions &gt; Roles &gt; Workload Settings and activate Unified RBAC for Endpoints, Email &amp; Collaboration, Identities, and Cloud Apps </w:t>
      </w:r>
      <w:r w:rsidRPr="00C61037">
        <w:rPr>
          <w:rFonts w:ascii="Calibri" w:hAnsi="Calibri" w:cs="Calibri"/>
          <w:vertAlign w:val="superscript"/>
        </w:rPr>
        <w:t>1</w:t>
      </w:r>
      <w:r w:rsidRPr="00C61037">
        <w:rPr>
          <w:rFonts w:ascii="Calibri" w:hAnsi="Calibri" w:cs="Calibri"/>
        </w:rPr>
        <w:t>.</w:t>
      </w:r>
    </w:p>
    <w:p w14:paraId="1C86AB7E" w14:textId="1472FD32" w:rsidR="00605A25" w:rsidRPr="00C61037" w:rsidRDefault="00000000" w:rsidP="00986FA2">
      <w:pPr>
        <w:pStyle w:val="ListBullet"/>
        <w:spacing w:after="60"/>
        <w:jc w:val="both"/>
        <w:rPr>
          <w:rFonts w:ascii="Calibri" w:hAnsi="Calibri" w:cs="Calibri"/>
        </w:rPr>
      </w:pPr>
      <w:r w:rsidRPr="00C61037">
        <w:rPr>
          <w:rFonts w:ascii="Calibri" w:hAnsi="Calibri" w:cs="Calibri"/>
        </w:rPr>
        <w:t>Create custom role: SecOps Unified Telemetry Reader</w:t>
      </w:r>
      <w:r w:rsidR="00C61037">
        <w:rPr>
          <w:rFonts w:ascii="Calibri" w:hAnsi="Calibri" w:cs="Calibri"/>
        </w:rPr>
        <w:t xml:space="preserve"> for Detection engineering team</w:t>
      </w:r>
      <w:r w:rsidRPr="00C61037">
        <w:rPr>
          <w:rFonts w:ascii="Calibri" w:hAnsi="Calibri" w:cs="Calibri"/>
        </w:rPr>
        <w:t>.</w:t>
      </w:r>
    </w:p>
    <w:p w14:paraId="756DCC00" w14:textId="10CBBF81" w:rsidR="00605A25" w:rsidRPr="00C61037" w:rsidRDefault="00000000" w:rsidP="00986FA2">
      <w:pPr>
        <w:pStyle w:val="ListBullet"/>
        <w:spacing w:after="60"/>
        <w:jc w:val="both"/>
        <w:rPr>
          <w:rFonts w:ascii="Calibri" w:hAnsi="Calibri" w:cs="Calibri"/>
        </w:rPr>
      </w:pPr>
      <w:r w:rsidRPr="00C61037">
        <w:rPr>
          <w:rFonts w:ascii="Calibri" w:hAnsi="Calibri" w:cs="Calibri"/>
        </w:rPr>
        <w:t xml:space="preserve">Assign permissions: Select Security data (Read) and Advanced hunting (Read) across All Data Sources </w:t>
      </w:r>
      <w:r w:rsidRPr="00C61037">
        <w:rPr>
          <w:rFonts w:ascii="Calibri" w:hAnsi="Calibri" w:cs="Calibri"/>
          <w:vertAlign w:val="superscript"/>
        </w:rPr>
        <w:t>1</w:t>
      </w:r>
      <w:r w:rsidRPr="00C61037">
        <w:rPr>
          <w:rFonts w:ascii="Calibri" w:hAnsi="Calibri" w:cs="Calibri"/>
        </w:rPr>
        <w:t>.</w:t>
      </w:r>
    </w:p>
    <w:p w14:paraId="103803EE" w14:textId="208E6A32" w:rsidR="00605A25" w:rsidRPr="00C61037" w:rsidRDefault="00000000" w:rsidP="00986FA2">
      <w:pPr>
        <w:pStyle w:val="ListBullet"/>
        <w:spacing w:after="60"/>
        <w:jc w:val="both"/>
        <w:rPr>
          <w:rFonts w:ascii="Calibri" w:hAnsi="Calibri" w:cs="Calibri"/>
        </w:rPr>
      </w:pPr>
      <w:r w:rsidRPr="00C61037">
        <w:rPr>
          <w:rFonts w:ascii="Calibri" w:hAnsi="Calibri" w:cs="Calibri"/>
        </w:rPr>
        <w:t>Map Detection Engineering's existing Entra ID Security Group to this custom URBAC role</w:t>
      </w:r>
      <w:r w:rsidR="00C61037">
        <w:rPr>
          <w:rFonts w:ascii="Calibri" w:hAnsi="Calibri" w:cs="Calibri"/>
        </w:rPr>
        <w:t xml:space="preserve"> or use IIQ role assignment</w:t>
      </w:r>
      <w:r w:rsidRPr="00C61037">
        <w:rPr>
          <w:rFonts w:ascii="Calibri" w:hAnsi="Calibri" w:cs="Calibri"/>
        </w:rPr>
        <w:t>.</w:t>
      </w:r>
    </w:p>
    <w:p w14:paraId="4FFB728A" w14:textId="77777777" w:rsidR="00605A25" w:rsidRPr="00C61037" w:rsidRDefault="00000000">
      <w:pPr>
        <w:keepNext/>
        <w:spacing w:before="200" w:after="80"/>
        <w:rPr>
          <w:rFonts w:ascii="Calibri" w:hAnsi="Calibri" w:cs="Calibri"/>
        </w:rPr>
      </w:pPr>
      <w:r w:rsidRPr="00C61037">
        <w:rPr>
          <w:rFonts w:ascii="Calibri" w:hAnsi="Calibri" w:cs="Calibri"/>
          <w:b/>
          <w:color w:val="005A9E"/>
          <w:sz w:val="21"/>
        </w:rPr>
        <w:t>Phase 4: Operational Validation &amp; Verification</w:t>
      </w:r>
    </w:p>
    <w:p w14:paraId="7C65F0FF" w14:textId="77777777" w:rsidR="00605A25" w:rsidRPr="00C61037" w:rsidRDefault="00000000" w:rsidP="00986FA2">
      <w:pPr>
        <w:pStyle w:val="ListBullet"/>
        <w:spacing w:after="60"/>
        <w:jc w:val="both"/>
        <w:rPr>
          <w:rFonts w:ascii="Calibri" w:hAnsi="Calibri" w:cs="Calibri"/>
        </w:rPr>
      </w:pPr>
      <w:r w:rsidRPr="00C61037">
        <w:rPr>
          <w:rFonts w:ascii="Calibri" w:hAnsi="Calibri" w:cs="Calibri"/>
        </w:rPr>
        <w:t>Activate PIM roles via Entra ID and validate that Detection Engineering can run Advanced Hunting KQL queries in Defender XDR without scope/permission errors.</w:t>
      </w:r>
    </w:p>
    <w:p w14:paraId="6DDB50CF" w14:textId="77777777" w:rsidR="00605A25" w:rsidRPr="00C61037" w:rsidRDefault="00000000" w:rsidP="00986FA2">
      <w:pPr>
        <w:pStyle w:val="ListBullet"/>
        <w:spacing w:after="60"/>
        <w:jc w:val="both"/>
        <w:rPr>
          <w:rFonts w:ascii="Calibri" w:hAnsi="Calibri" w:cs="Calibri"/>
        </w:rPr>
      </w:pPr>
      <w:r w:rsidRPr="00C61037">
        <w:rPr>
          <w:rFonts w:ascii="Calibri" w:hAnsi="Calibri" w:cs="Calibri"/>
        </w:rPr>
        <w:t>Confirm full end-to-end visibility across Sentinel workbooks, Purview DLP, Insider Risk alerts, and Defender raw logs.</w:t>
      </w:r>
    </w:p>
    <w:p w14:paraId="11B7FDE1" w14:textId="77777777" w:rsidR="00605A25" w:rsidRPr="00C61037" w:rsidRDefault="00000000" w:rsidP="00986FA2">
      <w:pPr>
        <w:pStyle w:val="ListBullet"/>
        <w:spacing w:after="60"/>
        <w:jc w:val="both"/>
        <w:rPr>
          <w:rFonts w:ascii="Calibri" w:hAnsi="Calibri" w:cs="Calibri"/>
        </w:rPr>
      </w:pPr>
      <w:r w:rsidRPr="00C61037">
        <w:rPr>
          <w:rFonts w:ascii="Calibri" w:hAnsi="Calibri" w:cs="Calibri"/>
        </w:rPr>
        <w:t>Confirm zero write impact on production DLP, Purview, or Defender policies maintained by adjacent administrative teams.</w:t>
      </w:r>
    </w:p>
    <w:p w14:paraId="5A934AC6" w14:textId="77777777" w:rsidR="00605A25" w:rsidRPr="00C61037" w:rsidRDefault="00000000">
      <w:pPr>
        <w:keepNext/>
        <w:spacing w:before="280" w:after="120"/>
        <w:rPr>
          <w:rFonts w:ascii="Calibri" w:hAnsi="Calibri" w:cs="Calibri"/>
        </w:rPr>
      </w:pPr>
      <w:r w:rsidRPr="00C61037">
        <w:rPr>
          <w:rFonts w:ascii="Calibri" w:hAnsi="Calibri" w:cs="Calibri"/>
          <w:b/>
          <w:color w:val="0F1C2E"/>
          <w:sz w:val="24"/>
        </w:rPr>
        <w:t>REFERENCES &amp; OFFICIAL MICROSOFT DOCUMENTATION</w:t>
      </w:r>
    </w:p>
    <w:p w14:paraId="5FA863F2" w14:textId="590C8333" w:rsidR="00605A25" w:rsidRPr="00B00D31" w:rsidRDefault="00000000" w:rsidP="00B00D31">
      <w:pPr>
        <w:pStyle w:val="ListParagraph"/>
        <w:numPr>
          <w:ilvl w:val="0"/>
          <w:numId w:val="10"/>
        </w:numPr>
        <w:spacing w:after="60"/>
        <w:jc w:val="both"/>
        <w:rPr>
          <w:rFonts w:ascii="Calibri" w:hAnsi="Calibri" w:cs="Calibri"/>
          <w:szCs w:val="20"/>
        </w:rPr>
      </w:pPr>
      <w:r w:rsidRPr="00B00D31">
        <w:rPr>
          <w:rFonts w:ascii="Calibri" w:hAnsi="Calibri" w:cs="Calibri"/>
          <w:b/>
          <w:color w:val="005A9E"/>
          <w:szCs w:val="20"/>
        </w:rPr>
        <w:t xml:space="preserve">[Microsoft Learn: </w:t>
      </w:r>
      <w:r w:rsidRPr="00B00D31">
        <w:rPr>
          <w:rFonts w:ascii="Calibri" w:hAnsi="Calibri" w:cs="Calibri"/>
          <w:color w:val="5C6F84"/>
          <w:szCs w:val="20"/>
        </w:rPr>
        <w:t>Permissions in Microsoft Defender unified role-based access control (RBAC). https://learn.microsoft.com/en-us/defender-xdr/custom-permissions-details.</w:t>
      </w:r>
    </w:p>
    <w:p w14:paraId="5A0F28D5" w14:textId="3D190076" w:rsidR="00605A25" w:rsidRPr="00B00D31" w:rsidRDefault="00000000" w:rsidP="00B00D31">
      <w:pPr>
        <w:pStyle w:val="ListParagraph"/>
        <w:numPr>
          <w:ilvl w:val="0"/>
          <w:numId w:val="10"/>
        </w:numPr>
        <w:spacing w:after="60"/>
        <w:jc w:val="both"/>
        <w:rPr>
          <w:rFonts w:ascii="Calibri" w:hAnsi="Calibri" w:cs="Calibri"/>
          <w:szCs w:val="20"/>
        </w:rPr>
      </w:pPr>
      <w:r w:rsidRPr="00B00D31">
        <w:rPr>
          <w:rFonts w:ascii="Calibri" w:hAnsi="Calibri" w:cs="Calibri"/>
          <w:b/>
          <w:color w:val="005A9E"/>
          <w:szCs w:val="20"/>
        </w:rPr>
        <w:t xml:space="preserve">Microsoft Learn: </w:t>
      </w:r>
      <w:r w:rsidRPr="00B00D31">
        <w:rPr>
          <w:rFonts w:ascii="Calibri" w:hAnsi="Calibri" w:cs="Calibri"/>
          <w:color w:val="5C6F84"/>
          <w:szCs w:val="20"/>
        </w:rPr>
        <w:t>Permissions in the Microsoft Purview portal. https://learn.microsoft.com/en-us/purview/purview-permissions.</w:t>
      </w:r>
    </w:p>
    <w:p w14:paraId="129E5F21" w14:textId="26CD51EC" w:rsidR="00605A25" w:rsidRPr="00B00D31" w:rsidRDefault="00000000" w:rsidP="00B00D31">
      <w:pPr>
        <w:pStyle w:val="ListParagraph"/>
        <w:numPr>
          <w:ilvl w:val="0"/>
          <w:numId w:val="10"/>
        </w:numPr>
        <w:spacing w:after="60"/>
        <w:jc w:val="both"/>
        <w:rPr>
          <w:rFonts w:ascii="Calibri" w:hAnsi="Calibri" w:cs="Calibri"/>
          <w:szCs w:val="20"/>
        </w:rPr>
      </w:pPr>
      <w:r w:rsidRPr="00B00D31">
        <w:rPr>
          <w:rFonts w:ascii="Calibri" w:hAnsi="Calibri" w:cs="Calibri"/>
          <w:b/>
          <w:color w:val="005A9E"/>
          <w:szCs w:val="20"/>
        </w:rPr>
        <w:t xml:space="preserve"> Microsoft Learn: </w:t>
      </w:r>
      <w:r w:rsidRPr="00B00D31">
        <w:rPr>
          <w:rFonts w:ascii="Calibri" w:hAnsi="Calibri" w:cs="Calibri"/>
          <w:color w:val="5C6F84"/>
          <w:szCs w:val="20"/>
        </w:rPr>
        <w:t>Data Loss Prevention policy reference &amp; permissions. https://learn.microsoft.com/en-us/purview/dlp-policy-reference.</w:t>
      </w:r>
    </w:p>
    <w:sectPr w:rsidR="00605A25" w:rsidRPr="00B00D31" w:rsidSect="00986FA2">
      <w:pgSz w:w="12240" w:h="15840"/>
      <w:pgMar w:top="993" w:right="1080" w:bottom="9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AB7E23"/>
    <w:multiLevelType w:val="hybridMultilevel"/>
    <w:tmpl w:val="EF80AF10"/>
    <w:lvl w:ilvl="0" w:tplc="5D96CB8A">
      <w:start w:val="1"/>
      <w:numFmt w:val="decimal"/>
      <w:lvlText w:val="%1."/>
      <w:lvlJc w:val="left"/>
      <w:pPr>
        <w:ind w:left="720" w:hanging="360"/>
      </w:pPr>
      <w:rPr>
        <w:rFonts w:hint="default"/>
        <w:b/>
        <w:color w:val="005A9E"/>
        <w:sz w:val="1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44740838">
    <w:abstractNumId w:val="8"/>
  </w:num>
  <w:num w:numId="2" w16cid:durableId="1113669700">
    <w:abstractNumId w:val="6"/>
  </w:num>
  <w:num w:numId="3" w16cid:durableId="1529024331">
    <w:abstractNumId w:val="5"/>
  </w:num>
  <w:num w:numId="4" w16cid:durableId="1271012090">
    <w:abstractNumId w:val="4"/>
  </w:num>
  <w:num w:numId="5" w16cid:durableId="1366370781">
    <w:abstractNumId w:val="7"/>
  </w:num>
  <w:num w:numId="6" w16cid:durableId="1815216973">
    <w:abstractNumId w:val="3"/>
  </w:num>
  <w:num w:numId="7" w16cid:durableId="110900122">
    <w:abstractNumId w:val="2"/>
  </w:num>
  <w:num w:numId="8" w16cid:durableId="116220946">
    <w:abstractNumId w:val="1"/>
  </w:num>
  <w:num w:numId="9" w16cid:durableId="1529444773">
    <w:abstractNumId w:val="0"/>
  </w:num>
  <w:num w:numId="10" w16cid:durableId="2126580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78D7"/>
    <w:rsid w:val="003B2D92"/>
    <w:rsid w:val="004F7E02"/>
    <w:rsid w:val="00605A25"/>
    <w:rsid w:val="00986FA2"/>
    <w:rsid w:val="00AA1D8D"/>
    <w:rsid w:val="00B00D31"/>
    <w:rsid w:val="00B47730"/>
    <w:rsid w:val="00BC4186"/>
    <w:rsid w:val="00C610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BF2AF"/>
  <w14:defaultImageDpi w14:val="300"/>
  <w15:docId w15:val="{84131130-EA9A-4B41-997C-528DBB80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8323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1811</Words>
  <Characters>10326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Lumi Olotu</dc:creator>
  <cp:keywords>IFC</cp:keywords>
  <dc:description>generated by python-docx</dc:description>
  <cp:lastModifiedBy>Olumide Olotu</cp:lastModifiedBy>
  <cp:revision>3</cp:revision>
  <dcterms:created xsi:type="dcterms:W3CDTF">2026-07-26T17:08:00Z</dcterms:created>
  <dcterms:modified xsi:type="dcterms:W3CDTF">2026-07-26T17:16:00Z</dcterms:modified>
  <cp:category/>
</cp:coreProperties>
</file>