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7BA9" w:rsidRDefault="00CE2045" w14:paraId="00100000" w14:textId="00100001">
      <w:pPr>
        <w:pStyle w:val="Title"/>
        <w:jc w:val="center"/>
      </w:pPr>
      <w:r>
        <w:t>IBM — Valuation Report</w:t>
      </w:r>
    </w:p>
    <w:p w:rsidR="00427BA9" w:rsidRDefault="00CE2045" w14:paraId="00100002" w14:textId="00100003">
      <w:pPr>
        <w:spacing w:after="200"/>
        <w:jc w:val="center"/>
      </w:pPr>
      <w:r>
        <w:rPr>
          <w:color w:val="3B4A63"/>
          <w:sz w:val="24"/>
        </w:rPr>
        <w:t>Post-crash driver-based valuation · July 2026 · Model v4</w:t>
      </w:r>
    </w:p>
    <w:p w:rsidR="00427BA9" w:rsidRDefault="00CE2045" w14:paraId="00100004" w14:textId="00100005">
      <w:pPr>
        <w:spacing w:after="40"/>
        <w:jc w:val="center"/>
      </w:pPr>
      <w:r>
        <w:rPr>
          <w:color w:val="595959"/>
          <w:sz w:val="19"/>
        </w:rPr>
        <w:t>Prepared 2026-07-16 · IBM (NYSE) · Price at writing: $212.40 · Prior close (Jul 13): $290.23</w:t>
      </w:r>
    </w:p>
    <w:p w:rsidR="00427BA9" w:rsidRDefault="00CE2045" w14:paraId="00100006" w14:textId="00100007">
      <w:pPr>
        <w:pBdr>
          <w:bottom w:val="single" w:color="8C97A8" w:sz="6" w:space="0"/>
        </w:pBdr>
        <w:spacing w:after="280"/>
        <w:jc w:val="center"/>
      </w:pPr>
      <w:r>
        <w:rPr>
          <w:color w:val="595959"/>
          <w:sz w:val="19"/>
        </w:rPr>
        <w:t xml:space="preserve">Engine: </w:t>
      </w:r>
      <w:r>
        <w:rPr>
          <w:rFonts w:ascii="Consolas" w:hAnsi="Consolas" w:eastAsia="Consolas"/>
          <w:color w:val="595959"/>
          <w:sz w:val="19"/>
        </w:rPr>
        <w:t>python -m analysis.IBM.dcf_drivers_run</w:t>
      </w:r>
      <w:r>
        <w:rPr>
          <w:color w:val="595959"/>
          <w:sz w:val="19"/>
        </w:rPr>
        <w:t xml:space="preserve"> (10,000 simulations, seed 7, 10-year horizon). All valuation figures in this report were reproduced from that command on the date above. Assumption register: DRIVERS.md; review record: REVIEW.md and DRIVER-REVIEW.md.</w:t>
      </w:r>
    </w:p>
    <w:p w:rsidR="00427BA9" w:rsidRDefault="00CE2045" w14:paraId="00100008" w14:textId="00100009">
      <w:r>
        <w:t>Contents</w:t>
      </w:r>
    </w:p>
    <w:p w:rsidR="002947EB" w:rsidRDefault="00CE2045" w14:paraId="0010000A" w14:textId="0010000B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"1-2" \h \u </w:instrText>
      </w:r>
      <w:r>
        <w:fldChar w:fldCharType="separate"/>
      </w:r>
      <w:hyperlink w:history="1" w:anchor="_Toc235121481">
        <w:r w:rsidRPr="009F3565" w:rsidR="002947EB">
          <w:rPr>
            <w:rStyle w:val="Hyperlink"/>
            <w:noProof/>
          </w:rPr>
          <w:t>1. Executive summary</w:t>
        </w:r>
        <w:r w:rsidR="002947EB">
          <w:rPr>
            <w:noProof/>
          </w:rPr>
          <w:tab/>
        </w:r>
        <w:r w:rsidR="002947EB">
          <w:rPr>
            <w:noProof/>
          </w:rPr>
          <w:fldChar w:fldCharType="begin"/>
        </w:r>
        <w:r w:rsidR="002947EB">
          <w:rPr>
            <w:noProof/>
          </w:rPr>
          <w:instrText xml:space="preserve"> PAGEREF _Toc235121481 \h </w:instrText>
        </w:r>
        <w:r w:rsidR="002947EB">
          <w:rPr>
            <w:noProof/>
          </w:rPr>
        </w:r>
        <w:r w:rsidR="002947EB">
          <w:rPr>
            <w:noProof/>
          </w:rPr>
          <w:fldChar w:fldCharType="separate"/>
        </w:r>
        <w:r w:rsidR="009E262E">
          <w:rPr>
            <w:noProof/>
          </w:rPr>
          <w:t>1</w:t>
        </w:r>
        <w:r w:rsidR="002947EB">
          <w:rPr>
            <w:noProof/>
          </w:rPr>
          <w:fldChar w:fldCharType="end"/>
        </w:r>
      </w:hyperlink>
    </w:p>
    <w:p w:rsidR="002947EB" w:rsidRDefault="002947EB" w14:paraId="0010000C" w14:textId="0010000D">
      <w:pPr>
        <w:pStyle w:val="TOC1"/>
        <w:tabs>
          <w:tab w:val="right" w:leader="dot" w:pos="8296"/>
        </w:tabs>
        <w:rPr>
          <w:noProof/>
        </w:rPr>
      </w:pPr>
      <w:hyperlink w:history="1" w:anchor="_Toc235121482">
        <w:r w:rsidRPr="009F3565">
          <w:rPr>
            <w:rStyle w:val="Hyperlink"/>
            <w:noProof/>
          </w:rPr>
          <w:t>2. What happened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2947EB" w:rsidRDefault="002947EB" w14:paraId="0010000E" w14:textId="0010000F">
      <w:pPr>
        <w:pStyle w:val="TOC1"/>
        <w:tabs>
          <w:tab w:val="right" w:leader="dot" w:pos="8296"/>
        </w:tabs>
        <w:rPr>
          <w:noProof/>
        </w:rPr>
      </w:pPr>
      <w:hyperlink w:history="1" w:anchor="_Toc235121483">
        <w:r w:rsidRPr="009F3565">
          <w:rPr>
            <w:rStyle w:val="Hyperlink"/>
            <w:noProof/>
          </w:rPr>
          <w:t>3. Valuation framework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2947EB" w:rsidRDefault="002947EB" w14:paraId="00100010" w14:textId="00100011">
      <w:pPr>
        <w:pStyle w:val="TOC2"/>
        <w:tabs>
          <w:tab w:val="right" w:leader="dot" w:pos="8296"/>
        </w:tabs>
        <w:rPr>
          <w:noProof/>
        </w:rPr>
      </w:pPr>
      <w:hyperlink w:history="1" w:anchor="_Toc235121484">
        <w:r w:rsidRPr="009F3565">
          <w:rPr>
            <w:rStyle w:val="Hyperlink"/>
            <w:noProof/>
          </w:rPr>
          <w:t>3.1 Architecture: deterministic items, explicit drivers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2947EB" w:rsidRDefault="002947EB" w14:paraId="00100012" w14:textId="00100013">
      <w:pPr>
        <w:pStyle w:val="TOC2"/>
        <w:tabs>
          <w:tab w:val="right" w:leader="dot" w:pos="8296"/>
        </w:tabs>
        <w:rPr>
          <w:noProof/>
        </w:rPr>
      </w:pPr>
      <w:hyperlink w:history="1" w:anchor="_Toc235121485">
        <w:r w:rsidRPr="009F3565">
          <w:rPr>
            <w:rStyle w:val="Hyperlink"/>
            <w:noProof/>
          </w:rPr>
          <w:t>3.2 The parameter register (full vector)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2947EB" w:rsidRDefault="002947EB" w14:paraId="00100014" w14:textId="00100015">
      <w:pPr>
        <w:pStyle w:val="TOC2"/>
        <w:tabs>
          <w:tab w:val="right" w:leader="dot" w:pos="8296"/>
        </w:tabs>
        <w:rPr>
          <w:noProof/>
        </w:rPr>
      </w:pPr>
      <w:hyperlink w:history="1" w:anchor="_Toc235121486">
        <w:r w:rsidRPr="009F3565">
          <w:rPr>
            <w:rStyle w:val="Hyperlink"/>
            <w:noProof/>
          </w:rPr>
          <w:t>3.3 Discount rate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2947EB" w:rsidRDefault="002947EB" w14:paraId="00100016" w14:textId="00100017">
      <w:pPr>
        <w:pStyle w:val="TOC2"/>
        <w:tabs>
          <w:tab w:val="right" w:leader="dot" w:pos="8296"/>
        </w:tabs>
        <w:rPr>
          <w:noProof/>
        </w:rPr>
      </w:pPr>
      <w:hyperlink w:history="1" w:anchor="_Toc235121487">
        <w:r w:rsidRPr="009F3565">
          <w:rPr>
            <w:rStyle w:val="Hyperlink"/>
            <w:noProof/>
          </w:rPr>
          <w:t>3.4 How the model got here: v1 to v4 under adversarial review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2947EB" w:rsidRDefault="002947EB" w14:paraId="00100018" w14:textId="00100019">
      <w:pPr>
        <w:pStyle w:val="TOC1"/>
        <w:tabs>
          <w:tab w:val="right" w:leader="dot" w:pos="8296"/>
        </w:tabs>
        <w:rPr>
          <w:noProof/>
        </w:rPr>
      </w:pPr>
      <w:hyperlink w:history="1" w:anchor="_Toc235121488">
        <w:r w:rsidRPr="009F3565">
          <w:rPr>
            <w:rStyle w:val="Hyperlink"/>
            <w:noProof/>
          </w:rPr>
          <w:t>4. Results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2947EB" w:rsidRDefault="002947EB" w14:paraId="0010001A" w14:textId="0010001B">
      <w:pPr>
        <w:pStyle w:val="TOC1"/>
        <w:tabs>
          <w:tab w:val="right" w:leader="dot" w:pos="8296"/>
        </w:tabs>
        <w:rPr>
          <w:noProof/>
        </w:rPr>
      </w:pPr>
      <w:hyperlink w:history="1" w:anchor="_Toc235121489">
        <w:r w:rsidRPr="009F3565">
          <w:rPr>
            <w:rStyle w:val="Hyperlink"/>
            <w:noProof/>
          </w:rPr>
          <w:t>5. Reading the price, and July 22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2947EB" w:rsidRDefault="002947EB" w14:paraId="0010001C" w14:textId="0010001D">
      <w:pPr>
        <w:pStyle w:val="TOC1"/>
        <w:tabs>
          <w:tab w:val="right" w:leader="dot" w:pos="8296"/>
        </w:tabs>
        <w:rPr>
          <w:noProof/>
        </w:rPr>
      </w:pPr>
      <w:hyperlink w:history="1" w:anchor="_Toc235121490">
        <w:r w:rsidRPr="009F3565">
          <w:rPr>
            <w:rStyle w:val="Hyperlink"/>
            <w:noProof/>
          </w:rPr>
          <w:t>6. Data and limitations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2947EB" w:rsidRDefault="002947EB" w14:paraId="0010001E" w14:textId="0010001F">
      <w:pPr>
        <w:pStyle w:val="TOC1"/>
        <w:tabs>
          <w:tab w:val="right" w:leader="dot" w:pos="8296"/>
        </w:tabs>
        <w:rPr>
          <w:noProof/>
        </w:rPr>
      </w:pPr>
      <w:hyperlink w:history="1" w:anchor="_Toc235121491">
        <w:r w:rsidRPr="009F3565">
          <w:rPr>
            <w:rStyle w:val="Hyperlink"/>
            <w:noProof/>
          </w:rPr>
          <w:t>Appendix A — Correlation matrix (8 stochastic drivers)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2947EB" w:rsidRDefault="002947EB" w14:paraId="00100020" w14:textId="00100021">
      <w:pPr>
        <w:pStyle w:val="TOC1"/>
        <w:tabs>
          <w:tab w:val="right" w:leader="dot" w:pos="8296"/>
        </w:tabs>
        <w:rPr>
          <w:noProof/>
        </w:rPr>
      </w:pPr>
      <w:hyperlink w:history="1" w:anchor="_Toc235121492">
        <w:r w:rsidRPr="009F3565">
          <w:rPr>
            <w:rStyle w:val="Hyperlink"/>
            <w:noProof/>
          </w:rPr>
          <w:t>Appendix B — Sources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_Toc235121492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262E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427BA9" w:rsidRDefault="00CE2045" w14:paraId="00100022" w14:textId="00100023">
      <w:r>
        <w:fldChar w:fldCharType="end"/>
      </w:r>
    </w:p>
    <w:p w:rsidR="00427BA9" w:rsidRDefault="00CE2045" w14:paraId="00100024" w14:textId="00100025">
      <w:pPr>
        <w:pStyle w:val="Heading1"/>
      </w:pPr>
      <w:bookmarkStart w:name="_Toc235121481" w:id="0"/>
      <w:r>
        <w:t>1. Executive summary</w:t>
      </w:r>
      <w:bookmarkEnd w:id="0"/>
    </w:p>
    <w:p w:rsidR="00427BA9" w:rsidRDefault="00CE2045" w14:paraId="00100026" w14:textId="00100027">
      <w:pPr>
        <w:ind w:firstLine="360"/>
      </w:pPr>
      <w:r>
        <w:t xml:space="preserve">At $212.40, IBM trades above this model’s median value under every M&amp;A-recurrence assumption we publish. The v4 driver-based Monte Carlo DCF values IBM at </w:t>
      </w:r>
      <w:r>
        <w:rPr>
          <w:b/>
        </w:rPr>
        <w:t>P10 $83.84 / P50 $151.84 / P90 $258.03</w:t>
      </w:r>
      <w:r>
        <w:t xml:space="preserve">, conditional on the headline judgment that half of IBM’s recurring acquisition spend is a cost of staying in place (f = 0.50). Even the most generous published reading — f = 0, where all acquisition spend is treated as optional and only organic software growth is credited — puts the median at $197.79, still about 7% below the price. Reaching $212 inside this framework requires a discount rate below roughly 6.5% on any single published lever — holding every other judgment at base; stacked readings were not run. At the trailing post-crash beta of 0.68 the bottom-up WACC falls to ≈6.5% and the median is still only $179.42. </w:t>
      </w:r>
      <w:r>
        <w:rPr>
          <w:b/>
        </w:rPr>
        <w:t>Interpretation.</w:t>
      </w:r>
      <w:r>
        <w:t xml:space="preserve"> The price embeds either a materially cheaper cost of capital than we can construct bottom-up, or resolution of the bull path — one price identifies a region of assumptions, not a point.</w:t>
      </w:r>
    </w:p>
    <w:p w:rsidR="00427BA9" w:rsidRDefault="00CE2045" w14:paraId="00100028" w14:textId="00100029">
      <w:pPr>
        <w:ind w:firstLine="360"/>
      </w:pPr>
      <w:r>
        <w:lastRenderedPageBreak/>
        <w:t>July 22, when IBM reports full Q2 results, adjudicates three falsifiable numbers: (a) whether the slipped large deals closed; (b) the FY2026 free-cash-flow guide against the ~$15.7B pre-warning bar; and (c) whether margins hold the FY2025 endpoint on which the model’s base is set. A fourth check is segment actuals against the model’s pinned year-1 growth (Software +5%, Consulting flat, Infrastructure at the warning-implied ~$14.6B).</w:t>
      </w:r>
    </w:p>
    <w:p w:rsidR="00427BA9" w:rsidRDefault="00CE2045" w14:paraId="0010002A" w14:textId="0010002B">
      <w:pPr>
        <w:ind w:firstLine="360"/>
      </w:pPr>
      <w:r>
        <w:t>Two caveats belong in the first paragraph a reader skims. First, terminal value is 64.1% of enterprise value at driver means — the valuation leans heavily on the Gordon inputs. Second, each simulated path holds one growth draw for ten years, so the left tail is understated; no margin-of-safety claim is made from the brackets (Section 4 callout).</w:t>
      </w:r>
    </w:p>
    <w:p w:rsidR="00427BA9" w:rsidRDefault="00CE2045" w14:paraId="0010002C" w14:textId="0010002D">
      <w:pPr>
        <w:pStyle w:val="Heading1"/>
      </w:pPr>
      <w:bookmarkStart w:name="_Toc235121482" w:id="1"/>
      <w:r>
        <w:t>2. What happened</w:t>
      </w:r>
      <w:bookmarkEnd w:id="1"/>
    </w:p>
    <w:p w:rsidR="00427BA9" w:rsidRDefault="00CE2045" w14:paraId="0010002E" w14:textId="0010002F">
      <w:pPr>
        <w:spacing w:after="120"/>
        <w:ind w:firstLine="360"/>
      </w:pPr>
      <w:r>
        <w:t xml:space="preserve">On July 14, 2026, IBM fell </w:t>
      </w:r>
      <w:r>
        <w:rPr>
          <w:b/>
        </w:rPr>
        <w:t>25.2% — its worst single day on record</w:t>
      </w:r>
      <w:r>
        <w:t>, worse than October 19, 1987 — after preliminary Q2 results released ahead of the July 22 report [1][2]:</w:t>
      </w:r>
    </w:p>
    <w:tbl>
      <w:tblPr>
        <w:tblW w:w="5000" w:type="pct"/>
        <w:tblBorders>
          <w:top w:val="single" w:color="1F3864" w:sz="12" w:space="0"/>
          <w:left w:val="none" w:color="auto" w:sz="4" w:space="0"/>
          <w:bottom w:val="single" w:color="1F3864" w:sz="12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301"/>
        <w:gridCol w:w="1510"/>
        <w:gridCol w:w="1510"/>
        <w:gridCol w:w="1071"/>
        <w:gridCol w:w="1914"/>
      </w:tblGrid>
      <w:tr w:rsidR="00427BA9">
        <w:trPr>
          <w:tblHeader/>
        </w:trPr>
        <w:tc>
          <w:tcPr>
            <w:tcW w:w="2600" w:type="dxa"/>
            <w:tcBorders>
              <w:bottom w:val="single" w:color="1F3864" w:sz="6" w:space="0"/>
            </w:tcBorders>
          </w:tcPr>
          <w:p w:rsidR="00427BA9" w:rsidRDefault="00CE2045" w14:paraId="00100030" w14:textId="00100031">
            <w:pPr>
              <w:pStyle w:val="TableText"/>
            </w:pPr>
            <w:r>
              <w:rPr>
                <w:b/>
              </w:rPr>
              <w:t>Q2 2026 (preliminary)</w:t>
            </w:r>
          </w:p>
        </w:tc>
        <w:tc>
          <w:tcPr>
            <w:tcW w:w="1700" w:type="dxa"/>
            <w:tcBorders>
              <w:bottom w:val="single" w:color="1F3864" w:sz="6" w:space="0"/>
            </w:tcBorders>
          </w:tcPr>
          <w:p w:rsidR="00427BA9" w:rsidRDefault="00CE2045" w14:paraId="00100032" w14:textId="00100033">
            <w:pPr>
              <w:pStyle w:val="TableText"/>
              <w:jc w:val="right"/>
            </w:pPr>
            <w:r>
              <w:rPr>
                <w:b/>
              </w:rPr>
              <w:t>Actual</w:t>
            </w:r>
          </w:p>
        </w:tc>
        <w:tc>
          <w:tcPr>
            <w:tcW w:w="1700" w:type="dxa"/>
            <w:tcBorders>
              <w:bottom w:val="single" w:color="1F3864" w:sz="6" w:space="0"/>
            </w:tcBorders>
          </w:tcPr>
          <w:p w:rsidR="00427BA9" w:rsidRDefault="00CE2045" w14:paraId="00100034" w14:textId="00100035">
            <w:pPr>
              <w:pStyle w:val="TableText"/>
              <w:jc w:val="right"/>
            </w:pPr>
            <w:r>
              <w:rPr>
                <w:b/>
              </w:rPr>
              <w:t>Prior year</w:t>
            </w:r>
          </w:p>
        </w:tc>
        <w:tc>
          <w:tcPr>
            <w:tcW w:w="1200" w:type="dxa"/>
            <w:tcBorders>
              <w:bottom w:val="single" w:color="1F3864" w:sz="6" w:space="0"/>
            </w:tcBorders>
          </w:tcPr>
          <w:p w:rsidR="00427BA9" w:rsidRDefault="00CE2045" w14:paraId="00100036" w14:textId="00100037">
            <w:pPr>
              <w:pStyle w:val="TableText"/>
              <w:jc w:val="right"/>
            </w:pPr>
            <w:r>
              <w:rPr>
                <w:b/>
              </w:rPr>
              <w:t>y/y</w:t>
            </w:r>
          </w:p>
        </w:tc>
        <w:tc>
          <w:tcPr>
            <w:tcW w:w="2160" w:type="dxa"/>
            <w:tcBorders>
              <w:bottom w:val="single" w:color="1F3864" w:sz="6" w:space="0"/>
            </w:tcBorders>
          </w:tcPr>
          <w:p w:rsidR="00427BA9" w:rsidRDefault="00CE2045" w14:paraId="00100038" w14:textId="00100039">
            <w:pPr>
              <w:pStyle w:val="TableText"/>
              <w:jc w:val="right"/>
            </w:pPr>
            <w:r>
              <w:rPr>
                <w:b/>
              </w:rPr>
              <w:t>Street expected</w:t>
            </w:r>
          </w:p>
        </w:tc>
      </w:tr>
      <w:tr w:rsidR="00427BA9">
        <w:tc>
          <w:tcPr>
            <w:tcW w:w="2600" w:type="dxa"/>
          </w:tcPr>
          <w:p w:rsidR="00427BA9" w:rsidRDefault="00CE2045" w14:paraId="0010003A" w14:textId="0010003B">
            <w:pPr>
              <w:pStyle w:val="TableText"/>
            </w:pPr>
            <w:r>
              <w:t>Revenue</w:t>
            </w:r>
          </w:p>
        </w:tc>
        <w:tc>
          <w:tcPr>
            <w:tcW w:w="1700" w:type="dxa"/>
          </w:tcPr>
          <w:p w:rsidR="00427BA9" w:rsidRDefault="00CE2045" w14:paraId="0010003C" w14:textId="0010003D">
            <w:pPr>
              <w:pStyle w:val="TableText"/>
              <w:jc w:val="right"/>
            </w:pPr>
            <w:r>
              <w:t>~$17.2B</w:t>
            </w:r>
          </w:p>
        </w:tc>
        <w:tc>
          <w:tcPr>
            <w:tcW w:w="1700" w:type="dxa"/>
          </w:tcPr>
          <w:p w:rsidR="00427BA9" w:rsidRDefault="00CE2045" w14:paraId="0010003E" w14:textId="0010003F">
            <w:pPr>
              <w:pStyle w:val="TableText"/>
              <w:jc w:val="right"/>
            </w:pPr>
            <w:r>
              <w:t>~$17.0B</w:t>
            </w:r>
          </w:p>
        </w:tc>
        <w:tc>
          <w:tcPr>
            <w:tcW w:w="1200" w:type="dxa"/>
          </w:tcPr>
          <w:p w:rsidR="00427BA9" w:rsidRDefault="00CE2045" w14:paraId="00100040" w14:textId="00100041">
            <w:pPr>
              <w:pStyle w:val="TableText"/>
              <w:jc w:val="right"/>
            </w:pPr>
            <w:r>
              <w:t>+1%</w:t>
            </w:r>
          </w:p>
        </w:tc>
        <w:tc>
          <w:tcPr>
            <w:tcW w:w="2160" w:type="dxa"/>
          </w:tcPr>
          <w:p w:rsidR="00427BA9" w:rsidRDefault="00CE2045" w14:paraId="00100042" w14:textId="00100043">
            <w:pPr>
              <w:pStyle w:val="TableText"/>
              <w:jc w:val="right"/>
            </w:pPr>
            <w:r>
              <w:t>~$17.9B</w:t>
            </w:r>
          </w:p>
        </w:tc>
      </w:tr>
      <w:tr w:rsidR="00427BA9">
        <w:tc>
          <w:tcPr>
            <w:tcW w:w="2600" w:type="dxa"/>
          </w:tcPr>
          <w:p w:rsidR="00427BA9" w:rsidRDefault="00CE2045" w14:paraId="00100044" w14:textId="00100045">
            <w:pPr>
              <w:pStyle w:val="TableText"/>
            </w:pPr>
            <w:r>
              <w:t>EPS, GAAP</w:t>
            </w:r>
          </w:p>
        </w:tc>
        <w:tc>
          <w:tcPr>
            <w:tcW w:w="1700" w:type="dxa"/>
          </w:tcPr>
          <w:p w:rsidR="00427BA9" w:rsidRDefault="00CE2045" w14:paraId="00100046" w14:textId="00100047">
            <w:pPr>
              <w:pStyle w:val="TableText"/>
              <w:jc w:val="right"/>
            </w:pPr>
            <w:r>
              <w:t>$2.27</w:t>
            </w:r>
          </w:p>
        </w:tc>
        <w:tc>
          <w:tcPr>
            <w:tcW w:w="1700" w:type="dxa"/>
          </w:tcPr>
          <w:p w:rsidR="00427BA9" w:rsidRDefault="00CE2045" w14:paraId="00100048" w14:textId="00100049">
            <w:pPr>
              <w:pStyle w:val="TableText"/>
              <w:jc w:val="right"/>
            </w:pPr>
            <w:r>
              <w:t>~$2.32</w:t>
            </w:r>
          </w:p>
        </w:tc>
        <w:tc>
          <w:tcPr>
            <w:tcW w:w="1200" w:type="dxa"/>
          </w:tcPr>
          <w:p w:rsidR="00427BA9" w:rsidRDefault="00CE2045" w14:paraId="0010004A" w14:textId="0010004B">
            <w:pPr>
              <w:pStyle w:val="TableText"/>
              <w:jc w:val="right"/>
            </w:pPr>
            <w:r>
              <w:t>−2%</w:t>
            </w:r>
          </w:p>
        </w:tc>
        <w:tc>
          <w:tcPr>
            <w:tcW w:w="2160" w:type="dxa"/>
          </w:tcPr>
          <w:p w:rsidR="00427BA9" w:rsidRDefault="00CE2045" w14:paraId="0010004C" w14:textId="0010004D">
            <w:pPr>
              <w:pStyle w:val="TableText"/>
              <w:jc w:val="right"/>
            </w:pPr>
            <w:r>
              <w:t>—</w:t>
            </w:r>
          </w:p>
        </w:tc>
      </w:tr>
      <w:tr w:rsidR="00427BA9">
        <w:tc>
          <w:tcPr>
            <w:tcW w:w="2600" w:type="dxa"/>
          </w:tcPr>
          <w:p w:rsidR="00427BA9" w:rsidRDefault="00CE2045" w14:paraId="0010004E" w14:textId="0010004F">
            <w:pPr>
              <w:pStyle w:val="TableText"/>
            </w:pPr>
            <w:r>
              <w:t>EPS, adjusted</w:t>
            </w:r>
          </w:p>
        </w:tc>
        <w:tc>
          <w:tcPr>
            <w:tcW w:w="1700" w:type="dxa"/>
          </w:tcPr>
          <w:p w:rsidR="00427BA9" w:rsidRDefault="00CE2045" w14:paraId="00100050" w14:textId="00100051">
            <w:pPr>
              <w:pStyle w:val="TableText"/>
              <w:jc w:val="right"/>
            </w:pPr>
            <w:r>
              <w:t>$2.93</w:t>
            </w:r>
          </w:p>
        </w:tc>
        <w:tc>
          <w:tcPr>
            <w:tcW w:w="1700" w:type="dxa"/>
          </w:tcPr>
          <w:p w:rsidR="00427BA9" w:rsidRDefault="00CE2045" w14:paraId="00100052" w14:textId="00100053">
            <w:pPr>
              <w:pStyle w:val="TableText"/>
              <w:jc w:val="right"/>
            </w:pPr>
            <w:r>
              <w:t>~$2.80</w:t>
            </w:r>
          </w:p>
        </w:tc>
        <w:tc>
          <w:tcPr>
            <w:tcW w:w="1200" w:type="dxa"/>
          </w:tcPr>
          <w:p w:rsidR="00427BA9" w:rsidRDefault="00CE2045" w14:paraId="00100054" w14:textId="00100055">
            <w:pPr>
              <w:pStyle w:val="TableText"/>
              <w:jc w:val="right"/>
            </w:pPr>
            <w:r>
              <w:t>+~5%</w:t>
            </w:r>
          </w:p>
        </w:tc>
        <w:tc>
          <w:tcPr>
            <w:tcW w:w="2160" w:type="dxa"/>
          </w:tcPr>
          <w:p w:rsidR="00427BA9" w:rsidRDefault="00CE2045" w14:paraId="00100056" w14:textId="00100057">
            <w:pPr>
              <w:pStyle w:val="TableText"/>
              <w:jc w:val="right"/>
            </w:pPr>
            <w:r>
              <w:t>$3.02</w:t>
            </w:r>
          </w:p>
        </w:tc>
      </w:tr>
    </w:tbl>
    <w:p w:rsidR="00427BA9" w:rsidRDefault="00CE2045" w14:paraId="00100058" w14:textId="00100059">
      <w:pPr>
        <w:spacing w:before="120"/>
        <w:ind w:firstLine="360"/>
      </w:pPr>
      <w:r>
        <w:t>Management’s explanation (CEO Arvind Krishna, pre-earnings call): (1) clients rotated quarterly capex away from IBM software and infrastructure into servers, storage, and memory to lock in supply-constrained AI hardware ahead of price increases — IBM anticipated some impact “but not the magnitude”; (2) large software and consulting deals slipped past the quarter — the majority of the shortfall; (3) the release of Anthropic’s Mythos stalled several large deals while customers re-evaluated [1][2].</w:t>
      </w:r>
    </w:p>
    <w:p w:rsidR="00427BA9" w:rsidRDefault="00CE2045" w14:paraId="0010005A" w14:textId="0010005B">
      <w:pPr>
        <w:ind w:firstLine="360"/>
      </w:pPr>
      <w:r>
        <w:rPr>
          <w:b/>
        </w:rPr>
        <w:t>Street reaction.</w:t>
      </w:r>
      <w:r>
        <w:t xml:space="preserve"> HSBC cut to Reduce with a $191 target [5]; BofA stayed at Buy, $330 → $280 [6]; Argus stayed at Buy, $360 → $280 [7]; Morgan Stanley held Equal-weight and moved $267 → $293, noting the market is “already pricing in” the upside [4]; Oppenheimer first downgraded IBM to Perform on the weak guidance, then a later note reiterated Outperform with a $350 target [3]. </w:t>
      </w:r>
      <w:r>
        <w:rPr>
          <w:b/>
        </w:rPr>
        <w:t>Median of these targets: $280</w:t>
      </w:r>
      <w:r>
        <w:t>.</w:t>
      </w:r>
    </w:p>
    <w:p w:rsidR="00427BA9" w:rsidRDefault="00CE2045" w14:paraId="0010005C" w14:textId="0010005D">
      <w:pPr>
        <w:ind w:firstLine="360"/>
      </w:pPr>
      <w:r>
        <w:t xml:space="preserve">Our median value ($151.84) sits far below that median, and the gap has a specific location: sell-side models effectively charge little or nothing for IBM’s recurring acquisition spend, and/or discount below 7%. On our published loci (Section 4), the most generous single reading — f = 0 at the base 7.06% WACC — reaches $197.79, and cutting beta to the trailing 0.68 lifts the base median by $28; no single published lever reaches $280. </w:t>
      </w:r>
      <w:r>
        <w:rPr>
          <w:b/>
        </w:rPr>
        <w:t>Interpretation.</w:t>
      </w:r>
      <w:r>
        <w:t xml:space="preserve"> The consensus target requires stacking near-</w:t>
      </w:r>
      <w:r>
        <w:lastRenderedPageBreak/>
        <w:t>zero M&amp;A recurrence with a discount rate well below our bottom-up build — each defensible only if IBM’s M&amp;A is genuinely optional and its risk genuinely low.</w:t>
      </w:r>
    </w:p>
    <w:p w:rsidR="00427BA9" w:rsidRDefault="00CE2045" w14:paraId="0010005E" w14:textId="0010005F">
      <w:pPr>
        <w:pStyle w:val="Heading1"/>
      </w:pPr>
      <w:bookmarkStart w:name="_Toc235121483" w:id="2"/>
      <w:r>
        <w:t>3. Valuation framework</w:t>
      </w:r>
      <w:bookmarkEnd w:id="2"/>
    </w:p>
    <w:p w:rsidR="00427BA9" w:rsidRDefault="00CE2045" w14:paraId="00100060" w14:textId="00100061">
      <w:pPr>
        <w:pStyle w:val="Heading2"/>
      </w:pPr>
      <w:bookmarkStart w:name="_Toc235121484" w:id="3"/>
      <w:r>
        <w:t>3.1 Architecture: deterministic items, explicit drivers</w:t>
      </w:r>
      <w:bookmarkEnd w:id="3"/>
    </w:p>
    <w:p w:rsidR="00427BA9" w:rsidRDefault="00CE2045" w14:paraId="00100062" w14:textId="00100063">
      <w:pPr>
        <w:spacing w:after="120"/>
        <w:ind w:firstLine="360"/>
      </w:pPr>
      <w:r>
        <w:t xml:space="preserve">The v4 model separates items — accounting identities computed the same way on every path — from drivers — the model’s actual assumptions, each either stochastic (sampled) or deterministic (fixed or scheduled), with the choice itself reviewed and justified. The executable definition is </w:t>
      </w:r>
      <w:r>
        <w:rPr>
          <w:rFonts w:ascii="Consolas" w:hAnsi="Consolas" w:eastAsia="Consolas"/>
          <w:sz w:val="19"/>
        </w:rPr>
        <w:t>analysis/IBM/driver_model.py</w:t>
      </w:r>
      <w:r>
        <w:t xml:space="preserve">; the engine is </w:t>
      </w:r>
      <w:r>
        <w:rPr>
          <w:rFonts w:ascii="Consolas" w:hAnsi="Consolas" w:eastAsia="Consolas"/>
          <w:sz w:val="19"/>
        </w:rPr>
        <w:t>financial_analysis/driver_dcf.py</w:t>
      </w:r>
      <w:r>
        <w:t>.</w:t>
      </w:r>
    </w:p>
    <w:tbl>
      <w:tblPr>
        <w:tblW w:w="5000" w:type="pct"/>
        <w:tblBorders>
          <w:top w:val="single" w:color="1F3864" w:sz="12" w:space="0"/>
          <w:left w:val="none" w:color="auto" w:sz="4" w:space="0"/>
          <w:bottom w:val="single" w:color="1F3864" w:sz="12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40"/>
        <w:gridCol w:w="4039"/>
        <w:gridCol w:w="2927"/>
      </w:tblGrid>
      <w:tr w:rsidR="00427BA9">
        <w:trPr>
          <w:tblHeader/>
        </w:trPr>
        <w:tc>
          <w:tcPr>
            <w:tcW w:w="1500" w:type="dxa"/>
            <w:tcBorders>
              <w:bottom w:val="single" w:color="1F3864" w:sz="6" w:space="0"/>
            </w:tcBorders>
          </w:tcPr>
          <w:p w:rsidR="00427BA9" w:rsidRDefault="00CE2045" w14:paraId="00100064" w14:textId="00100065">
            <w:pPr>
              <w:pStyle w:val="TableText"/>
            </w:pPr>
            <w:r>
              <w:rPr>
                <w:b/>
              </w:rPr>
              <w:t>Item</w:t>
            </w:r>
          </w:p>
        </w:tc>
        <w:tc>
          <w:tcPr>
            <w:tcW w:w="4560" w:type="dxa"/>
            <w:tcBorders>
              <w:bottom w:val="single" w:color="1F3864" w:sz="6" w:space="0"/>
            </w:tcBorders>
          </w:tcPr>
          <w:p w:rsidR="00427BA9" w:rsidRDefault="00CE2045" w14:paraId="00100066" w14:textId="00100067">
            <w:pPr>
              <w:pStyle w:val="TableText"/>
            </w:pPr>
            <w:r>
              <w:rPr>
                <w:b/>
              </w:rPr>
              <w:t>Formula</w:t>
            </w:r>
          </w:p>
        </w:tc>
        <w:tc>
          <w:tcPr>
            <w:tcW w:w="3300" w:type="dxa"/>
            <w:tcBorders>
              <w:bottom w:val="single" w:color="1F3864" w:sz="6" w:space="0"/>
            </w:tcBorders>
          </w:tcPr>
          <w:p w:rsidR="00427BA9" w:rsidRDefault="00CE2045" w14:paraId="00100068" w14:textId="00100069">
            <w:pPr>
              <w:pStyle w:val="TableText"/>
            </w:pPr>
            <w:r>
              <w:rPr>
                <w:b/>
              </w:rPr>
              <w:t>Notes</w:t>
            </w:r>
          </w:p>
        </w:tc>
      </w:tr>
      <w:tr w:rsidR="00427BA9">
        <w:tc>
          <w:tcPr>
            <w:tcW w:w="1500" w:type="dxa"/>
          </w:tcPr>
          <w:p w:rsidR="00427BA9" w:rsidRDefault="00CE2045" w14:paraId="0010006A" w14:textId="0010006B">
            <w:pPr>
              <w:pStyle w:val="TableText"/>
            </w:pPr>
            <w:r>
              <w:t>Revenue</w:t>
            </w:r>
          </w:p>
        </w:tc>
        <w:tc>
          <w:tcPr>
            <w:tcW w:w="4560" w:type="dxa"/>
          </w:tcPr>
          <w:p w:rsidR="00427BA9" w:rsidRDefault="00CE2045" w14:paraId="0010006C" w14:textId="0010006D">
            <w:pPr>
              <w:pStyle w:val="TableText"/>
            </w:pPr>
            <w:r>
              <w:t>Σ segments: base × (1 + g_seg)^t; year 1 pinned to warning-implied levels, draws from t = 2</w:t>
            </w:r>
          </w:p>
        </w:tc>
        <w:tc>
          <w:tcPr>
            <w:tcW w:w="3300" w:type="dxa"/>
          </w:tcPr>
          <w:p w:rsidR="00427BA9" w:rsidRDefault="00CE2045" w14:paraId="0010006E" w14:textId="0010006F">
            <w:pPr>
              <w:pStyle w:val="TableText"/>
            </w:pPr>
            <w:r>
              <w:t>growth constant per path (ticket T-DCF-1); growth is nominal all-in, FX unmodeled</w:t>
            </w:r>
          </w:p>
        </w:tc>
      </w:tr>
      <w:tr w:rsidR="00427BA9">
        <w:tc>
          <w:tcPr>
            <w:tcW w:w="1500" w:type="dxa"/>
          </w:tcPr>
          <w:p w:rsidR="00427BA9" w:rsidRDefault="00CE2045" w14:paraId="00100070" w14:textId="00100071">
            <w:pPr>
              <w:pStyle w:val="TableText"/>
            </w:pPr>
            <w:r>
              <w:t>FCFF margin</w:t>
            </w:r>
          </w:p>
        </w:tc>
        <w:tc>
          <w:tcPr>
            <w:tcW w:w="4560" w:type="dxa"/>
          </w:tcPr>
          <w:p w:rsidR="00427BA9" w:rsidRDefault="00CE2045" w14:paraId="00100072" w14:textId="00100073">
            <w:pPr>
              <w:pStyle w:val="TableText"/>
            </w:pPr>
            <w:r>
              <w:t>core + mix_drift(t) − sbc(t) − f × ma</w:t>
            </w:r>
          </w:p>
        </w:tc>
        <w:tc>
          <w:tcPr>
            <w:tcW w:w="3300" w:type="dxa"/>
          </w:tcPr>
          <w:p w:rsidR="00427BA9" w:rsidRDefault="00CE2045" w14:paraId="00100074" w14:textId="00100075">
            <w:pPr>
              <w:pStyle w:val="TableText"/>
            </w:pPr>
            <w:r>
              <w:t>mix drift and SBC are deterministic per-year schedules</w:t>
            </w:r>
          </w:p>
        </w:tc>
      </w:tr>
      <w:tr w:rsidR="00427BA9">
        <w:tc>
          <w:tcPr>
            <w:tcW w:w="1500" w:type="dxa"/>
          </w:tcPr>
          <w:p w:rsidR="00427BA9" w:rsidRDefault="00CE2045" w14:paraId="00100076" w14:textId="00100077">
            <w:pPr>
              <w:pStyle w:val="TableText"/>
            </w:pPr>
            <w:r>
              <w:t>WACC</w:t>
            </w:r>
          </w:p>
        </w:tc>
        <w:tc>
          <w:tcPr>
            <w:tcW w:w="4560" w:type="dxa"/>
          </w:tcPr>
          <w:p w:rsidR="00427BA9" w:rsidRDefault="00CE2045" w14:paraId="00100078" w14:textId="00100079">
            <w:pPr>
              <w:pStyle w:val="TableText"/>
            </w:pPr>
            <w:r>
              <w:t>E/V × (rf + β × ERP) + (1 − E/V) × (rf + spread) × (1 − τ)</w:t>
            </w:r>
          </w:p>
        </w:tc>
        <w:tc>
          <w:tcPr>
            <w:tcW w:w="3300" w:type="dxa"/>
          </w:tcPr>
          <w:p w:rsidR="00427BA9" w:rsidRDefault="00CE2045" w14:paraId="0010007A" w14:textId="0010007B">
            <w:pPr>
              <w:pStyle w:val="TableText"/>
            </w:pPr>
            <w:r>
              <w:t>kd derived per path from rf (no negative-spread paths); flat term structure — one WACC for years 1–10 and terminal</w:t>
            </w:r>
          </w:p>
        </w:tc>
      </w:tr>
      <w:tr w:rsidR="00427BA9">
        <w:tc>
          <w:tcPr>
            <w:tcW w:w="1500" w:type="dxa"/>
          </w:tcPr>
          <w:p w:rsidR="00427BA9" w:rsidRDefault="00CE2045" w14:paraId="0010007C" w14:textId="0010007D">
            <w:pPr>
              <w:pStyle w:val="TableText"/>
            </w:pPr>
            <w:r>
              <w:t>Terminal value</w:t>
            </w:r>
          </w:p>
        </w:tc>
        <w:tc>
          <w:tcPr>
            <w:tcW w:w="4560" w:type="dxa"/>
          </w:tcPr>
          <w:p w:rsidR="00427BA9" w:rsidRDefault="00CE2045" w14:paraId="0010007E" w14:textId="0010007F">
            <w:pPr>
              <w:pStyle w:val="TableText"/>
            </w:pPr>
            <w:r>
              <w:t>Gordon at min(tg, WACC − 2%), discounted 10 years</w:t>
            </w:r>
          </w:p>
        </w:tc>
        <w:tc>
          <w:tcPr>
            <w:tcW w:w="3300" w:type="dxa"/>
          </w:tcPr>
          <w:p w:rsidR="00427BA9" w:rsidRDefault="00CE2045" w14:paraId="00100080" w14:textId="00100081">
            <w:pPr>
              <w:pStyle w:val="TableText"/>
            </w:pPr>
            <w:r>
              <w:t>guard pinned on 0.09% of paths (seed 7)</w:t>
            </w:r>
          </w:p>
        </w:tc>
      </w:tr>
    </w:tbl>
    <w:p w:rsidR="00427BA9" w:rsidRDefault="00CE2045" w14:paraId="00100082" w14:textId="00100083">
      <w:pPr>
        <w:spacing w:before="120"/>
        <w:ind w:firstLine="360"/>
      </w:pPr>
      <w:r>
        <w:t>Equity value per share = (PV of FCFF + PV of TV − net debt $54.0B) / 948.7M diluted shares. Both figures carry over from the v3 stock-vs-flow bridge (README v3): net debt = total debt $61.3B + after-tax pension liability $7.1B (liability-only; the overfunded-plan surplus asset is deliberately excluded) − cash and marketable securities $14.4B, with operating leases and financing receivables deliberately excluded because their flows already live in the margin; shares are held flat because stock-based compensation (SBC) is charged as a cash cost — growing the count too would double-charge dilution [8].</w:t>
      </w:r>
    </w:p>
    <w:p w:rsidR="00427BA9" w:rsidRDefault="00CE2045" w14:paraId="00100084" w14:textId="00100085">
      <w:pPr>
        <w:ind w:firstLine="360"/>
      </w:pPr>
      <w:r>
        <w:t>Segment bases are FY2025 actuals from the Q4 8-K [8] (Software $29,962M, Consulting $21,055M, Financing $737M), except Infrastructure, which uses the FY24/25 average $14,869M as a mainframe-cycle-peak haircut. Year-1 growth is pinned to the July 14 warning: Software +5%, Consulting 0%, Financing 0%, and Infrastructure −1.69% on the haircut base — level-targeted to the warning-implied $14,618M so the cycle correction is not double-counted. Draws apply from year 2.</w:t>
      </w:r>
    </w:p>
    <w:p w:rsidR="00427BA9" w:rsidRDefault="00CE2045" w14:paraId="00100086" w14:textId="00100087">
      <w:pPr>
        <w:pStyle w:val="Heading2"/>
      </w:pPr>
      <w:bookmarkStart w:name="_Toc235121485" w:id="4"/>
      <w:r>
        <w:t>3.2 The parameter register (full vector)</w:t>
      </w:r>
      <w:bookmarkEnd w:id="4"/>
    </w:p>
    <w:p w:rsidR="00427BA9" w:rsidRDefault="00CE2045" w14:paraId="00100088" w14:textId="00100089">
      <w:pPr>
        <w:spacing w:after="120"/>
        <w:ind w:firstLine="360"/>
      </w:pPr>
      <w:r>
        <w:t xml:space="preserve">All rationales are reproduced in full in DRIVERS.md and as executable strings in </w:t>
      </w:r>
      <w:r>
        <w:rPr>
          <w:rFonts w:ascii="Consolas" w:hAnsi="Consolas" w:eastAsia="Consolas"/>
          <w:sz w:val="19"/>
        </w:rPr>
        <w:t>driver_model.py</w:t>
      </w:r>
      <w:r>
        <w:t>. S = stochastic, D = deterministic. Every row is an assumption; the two central judgments are flagged.</w:t>
      </w:r>
    </w:p>
    <w:tbl>
      <w:tblPr>
        <w:tblW w:w="5000" w:type="pct"/>
        <w:tblBorders>
          <w:top w:val="single" w:color="1F3864" w:sz="12" w:space="0"/>
          <w:left w:val="none" w:color="auto" w:sz="4" w:space="0"/>
          <w:bottom w:val="single" w:color="1F3864" w:sz="12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92"/>
        <w:gridCol w:w="498"/>
        <w:gridCol w:w="1023"/>
        <w:gridCol w:w="1504"/>
        <w:gridCol w:w="673"/>
        <w:gridCol w:w="1110"/>
        <w:gridCol w:w="1906"/>
      </w:tblGrid>
      <w:tr w:rsidR="00427BA9">
        <w:trPr>
          <w:tblHeader/>
        </w:trPr>
        <w:tc>
          <w:tcPr>
            <w:tcW w:w="1800" w:type="dxa"/>
            <w:tcBorders>
              <w:bottom w:val="single" w:color="1F3864" w:sz="6" w:space="0"/>
            </w:tcBorders>
          </w:tcPr>
          <w:p w:rsidR="00427BA9" w:rsidRDefault="00CE2045" w14:paraId="0010008A" w14:textId="0010008B">
            <w:pPr>
              <w:pStyle w:val="TableText"/>
            </w:pPr>
            <w:r>
              <w:rPr>
                <w:b/>
              </w:rPr>
              <w:lastRenderedPageBreak/>
              <w:t>Driver</w:t>
            </w:r>
          </w:p>
        </w:tc>
        <w:tc>
          <w:tcPr>
            <w:tcW w:w="550" w:type="dxa"/>
            <w:tcBorders>
              <w:bottom w:val="single" w:color="1F3864" w:sz="6" w:space="0"/>
            </w:tcBorders>
          </w:tcPr>
          <w:p w:rsidR="00427BA9" w:rsidRDefault="00CE2045" w14:paraId="0010008C" w14:textId="0010008D">
            <w:pPr>
              <w:pStyle w:val="TableText"/>
              <w:jc w:val="center"/>
            </w:pPr>
            <w:r>
              <w:rPr>
                <w:b/>
              </w:rPr>
              <w:t>S/D</w:t>
            </w:r>
          </w:p>
        </w:tc>
        <w:tc>
          <w:tcPr>
            <w:tcW w:w="1150" w:type="dxa"/>
            <w:tcBorders>
              <w:bottom w:val="single" w:color="1F3864" w:sz="6" w:space="0"/>
            </w:tcBorders>
          </w:tcPr>
          <w:p w:rsidR="00427BA9" w:rsidRDefault="00CE2045" w14:paraId="0010008E" w14:textId="0010008F">
            <w:pPr>
              <w:pStyle w:val="TableText"/>
            </w:pPr>
            <w:r>
              <w:rPr>
                <w:b/>
              </w:rPr>
              <w:t>Dist</w:t>
            </w:r>
          </w:p>
        </w:tc>
        <w:tc>
          <w:tcPr>
            <w:tcW w:w="1700" w:type="dxa"/>
            <w:tcBorders>
              <w:bottom w:val="single" w:color="1F3864" w:sz="6" w:space="0"/>
            </w:tcBorders>
          </w:tcPr>
          <w:p w:rsidR="00427BA9" w:rsidRDefault="00CE2045" w14:paraId="00100090" w14:textId="00100091">
            <w:pPr>
              <w:pStyle w:val="TableText"/>
            </w:pPr>
            <w:r>
              <w:rPr>
                <w:b/>
              </w:rPr>
              <w:t>Mean</w:t>
            </w:r>
          </w:p>
        </w:tc>
        <w:tc>
          <w:tcPr>
            <w:tcW w:w="750" w:type="dxa"/>
            <w:tcBorders>
              <w:bottom w:val="single" w:color="1F3864" w:sz="6" w:space="0"/>
            </w:tcBorders>
          </w:tcPr>
          <w:p w:rsidR="00427BA9" w:rsidRDefault="00CE2045" w14:paraId="00100092" w14:textId="00100093">
            <w:pPr>
              <w:pStyle w:val="TableText"/>
              <w:jc w:val="right"/>
            </w:pPr>
            <w:r>
              <w:rPr>
                <w:b/>
              </w:rPr>
              <w:t>Std</w:t>
            </w:r>
          </w:p>
        </w:tc>
        <w:tc>
          <w:tcPr>
            <w:tcW w:w="1250" w:type="dxa"/>
            <w:tcBorders>
              <w:bottom w:val="single" w:color="1F3864" w:sz="6" w:space="0"/>
            </w:tcBorders>
          </w:tcPr>
          <w:p w:rsidR="00427BA9" w:rsidRDefault="00CE2045" w14:paraId="00100094" w14:textId="00100095">
            <w:pPr>
              <w:pStyle w:val="TableText"/>
            </w:pPr>
            <w:r>
              <w:rPr>
                <w:b/>
              </w:rPr>
              <w:t>Bounds / schedule</w:t>
            </w:r>
          </w:p>
        </w:tc>
        <w:tc>
          <w:tcPr>
            <w:tcW w:w="2160" w:type="dxa"/>
            <w:tcBorders>
              <w:bottom w:val="single" w:color="1F3864" w:sz="6" w:space="0"/>
            </w:tcBorders>
          </w:tcPr>
          <w:p w:rsidR="00427BA9" w:rsidRDefault="00CE2045" w14:paraId="00100096" w14:textId="00100097">
            <w:pPr>
              <w:pStyle w:val="TableText"/>
            </w:pPr>
            <w:r>
              <w:rPr>
                <w:b/>
              </w:rPr>
              <w:t>Basis (short)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098" w14:textId="00100099">
            <w:pPr>
              <w:pStyle w:val="TableText"/>
            </w:pPr>
            <w:r>
              <w:t>g_software</w:t>
            </w:r>
          </w:p>
        </w:tc>
        <w:tc>
          <w:tcPr>
            <w:tcW w:w="550" w:type="dxa"/>
          </w:tcPr>
          <w:p w:rsidR="00427BA9" w:rsidRDefault="00CE2045" w14:paraId="0010009A" w14:textId="0010009B">
            <w:pPr>
              <w:pStyle w:val="TableText"/>
              <w:jc w:val="center"/>
            </w:pPr>
            <w:r>
              <w:t>S</w:t>
            </w:r>
          </w:p>
        </w:tc>
        <w:tc>
          <w:tcPr>
            <w:tcW w:w="1150" w:type="dxa"/>
          </w:tcPr>
          <w:p w:rsidR="00427BA9" w:rsidRDefault="00CE2045" w14:paraId="0010009C" w14:textId="0010009D">
            <w:pPr>
              <w:pStyle w:val="TableText"/>
            </w:pPr>
            <w:r>
              <w:t>truncnorm</w:t>
            </w:r>
          </w:p>
        </w:tc>
        <w:tc>
          <w:tcPr>
            <w:tcW w:w="1700" w:type="dxa"/>
          </w:tcPr>
          <w:p w:rsidR="00427BA9" w:rsidRDefault="00CE2045" w14:paraId="0010009E" w14:textId="0010009F">
            <w:pPr>
              <w:pStyle w:val="TableText"/>
            </w:pPr>
            <w:r>
              <w:t>5.0% = 4.0% organic + f × 2.0% acquired</w:t>
            </w:r>
          </w:p>
        </w:tc>
        <w:tc>
          <w:tcPr>
            <w:tcW w:w="750" w:type="dxa"/>
          </w:tcPr>
          <w:p w:rsidR="00427BA9" w:rsidRDefault="00CE2045" w14:paraId="001000A0" w14:textId="001000A1">
            <w:pPr>
              <w:pStyle w:val="TableText"/>
              <w:jc w:val="right"/>
            </w:pPr>
            <w:r>
              <w:t>2.5%</w:t>
            </w:r>
          </w:p>
        </w:tc>
        <w:tc>
          <w:tcPr>
            <w:tcW w:w="1250" w:type="dxa"/>
          </w:tcPr>
          <w:p w:rsidR="00427BA9" w:rsidRDefault="00CE2045" w14:paraId="001000A2" w14:textId="001000A3">
            <w:pPr>
              <w:pStyle w:val="TableText"/>
            </w:pPr>
            <w:r>
              <w:t>hi 11%</w:t>
            </w:r>
          </w:p>
        </w:tc>
        <w:tc>
          <w:tcPr>
            <w:tcW w:w="2160" w:type="dxa"/>
          </w:tcPr>
          <w:p w:rsidR="00427BA9" w:rsidRDefault="00CE2045" w14:paraId="001000A4" w14:textId="001000A5">
            <w:pPr>
              <w:pStyle w:val="TableText"/>
            </w:pPr>
            <w:r>
              <w:t>F16 decomposition; credit derived from the same f charged in the margin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0A6" w14:textId="001000A7">
            <w:pPr>
              <w:pStyle w:val="TableText"/>
            </w:pPr>
            <w:r>
              <w:t>g_consulting</w:t>
            </w:r>
          </w:p>
        </w:tc>
        <w:tc>
          <w:tcPr>
            <w:tcW w:w="550" w:type="dxa"/>
          </w:tcPr>
          <w:p w:rsidR="00427BA9" w:rsidRDefault="00CE2045" w14:paraId="001000A8" w14:textId="001000A9">
            <w:pPr>
              <w:pStyle w:val="TableText"/>
              <w:jc w:val="center"/>
            </w:pPr>
            <w:r>
              <w:t>S</w:t>
            </w:r>
          </w:p>
        </w:tc>
        <w:tc>
          <w:tcPr>
            <w:tcW w:w="1150" w:type="dxa"/>
          </w:tcPr>
          <w:p w:rsidR="00427BA9" w:rsidRDefault="00CE2045" w14:paraId="001000AA" w14:textId="001000AB">
            <w:pPr>
              <w:pStyle w:val="TableText"/>
            </w:pPr>
            <w:r>
              <w:t>normal</w:t>
            </w:r>
          </w:p>
        </w:tc>
        <w:tc>
          <w:tcPr>
            <w:tcW w:w="1700" w:type="dxa"/>
          </w:tcPr>
          <w:p w:rsidR="00427BA9" w:rsidRDefault="00CE2045" w14:paraId="001000AC" w14:textId="001000AD">
            <w:pPr>
              <w:pStyle w:val="TableText"/>
            </w:pPr>
            <w:r>
              <w:t>1.75%</w:t>
            </w:r>
          </w:p>
        </w:tc>
        <w:tc>
          <w:tcPr>
            <w:tcW w:w="750" w:type="dxa"/>
          </w:tcPr>
          <w:p w:rsidR="00427BA9" w:rsidRDefault="00CE2045" w14:paraId="001000AE" w14:textId="001000AF">
            <w:pPr>
              <w:pStyle w:val="TableText"/>
              <w:jc w:val="right"/>
            </w:pPr>
            <w:r>
              <w:t>2.5%</w:t>
            </w:r>
          </w:p>
        </w:tc>
        <w:tc>
          <w:tcPr>
            <w:tcW w:w="1250" w:type="dxa"/>
          </w:tcPr>
          <w:p w:rsidR="00427BA9" w:rsidRDefault="00CE2045" w14:paraId="001000B0" w14:textId="001000B1">
            <w:pPr>
              <w:pStyle w:val="TableText"/>
            </w:pPr>
            <w:r>
              <w:t>—</w:t>
            </w:r>
          </w:p>
        </w:tc>
        <w:tc>
          <w:tcPr>
            <w:tcW w:w="2160" w:type="dxa"/>
          </w:tcPr>
          <w:p w:rsidR="00427BA9" w:rsidRDefault="00CE2045" w14:paraId="001000B2" w14:textId="001000B3">
            <w:pPr>
              <w:pStyle w:val="TableText"/>
            </w:pPr>
            <w:r>
              <w:t>GenAI-cannibalization left-skew proxy; mixture ticketed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0B4" w14:textId="001000B5">
            <w:pPr>
              <w:pStyle w:val="TableText"/>
            </w:pPr>
            <w:r>
              <w:t>g_infrastructure</w:t>
            </w:r>
          </w:p>
        </w:tc>
        <w:tc>
          <w:tcPr>
            <w:tcW w:w="550" w:type="dxa"/>
          </w:tcPr>
          <w:p w:rsidR="00427BA9" w:rsidRDefault="00CE2045" w14:paraId="001000B6" w14:textId="001000B7">
            <w:pPr>
              <w:pStyle w:val="TableText"/>
              <w:jc w:val="center"/>
            </w:pPr>
            <w:r>
              <w:t>S</w:t>
            </w:r>
          </w:p>
        </w:tc>
        <w:tc>
          <w:tcPr>
            <w:tcW w:w="1150" w:type="dxa"/>
          </w:tcPr>
          <w:p w:rsidR="00427BA9" w:rsidRDefault="00CE2045" w14:paraId="001000B8" w14:textId="001000B9">
            <w:pPr>
              <w:pStyle w:val="TableText"/>
            </w:pPr>
            <w:r>
              <w:t>truncnorm</w:t>
            </w:r>
          </w:p>
        </w:tc>
        <w:tc>
          <w:tcPr>
            <w:tcW w:w="1700" w:type="dxa"/>
          </w:tcPr>
          <w:p w:rsidR="00427BA9" w:rsidRDefault="00CE2045" w14:paraId="001000BA" w14:textId="001000BB">
            <w:pPr>
              <w:pStyle w:val="TableText"/>
            </w:pPr>
            <w:r>
              <w:t>−1.0%</w:t>
            </w:r>
          </w:p>
        </w:tc>
        <w:tc>
          <w:tcPr>
            <w:tcW w:w="750" w:type="dxa"/>
          </w:tcPr>
          <w:p w:rsidR="00427BA9" w:rsidRDefault="00CE2045" w14:paraId="001000BC" w14:textId="001000BD">
            <w:pPr>
              <w:pStyle w:val="TableText"/>
              <w:jc w:val="right"/>
            </w:pPr>
            <w:r>
              <w:t>2.5%</w:t>
            </w:r>
          </w:p>
        </w:tc>
        <w:tc>
          <w:tcPr>
            <w:tcW w:w="1250" w:type="dxa"/>
          </w:tcPr>
          <w:p w:rsidR="00427BA9" w:rsidRDefault="00CE2045" w14:paraId="001000BE" w14:textId="001000BF">
            <w:pPr>
              <w:pStyle w:val="TableText"/>
            </w:pPr>
            <w:r>
              <w:t>hi +3%</w:t>
            </w:r>
          </w:p>
        </w:tc>
        <w:tc>
          <w:tcPr>
            <w:tcW w:w="2160" w:type="dxa"/>
          </w:tcPr>
          <w:p w:rsidR="00427BA9" w:rsidRDefault="00CE2045" w14:paraId="001000C0" w14:textId="001000C1">
            <w:pPr>
              <w:pStyle w:val="TableText"/>
            </w:pPr>
            <w:r>
              <w:t>decade-CAGR dispersion, not annual volatility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0C2" w14:textId="001000C3">
            <w:pPr>
              <w:pStyle w:val="TableText"/>
            </w:pPr>
            <w:r>
              <w:t>g_financing</w:t>
            </w:r>
          </w:p>
        </w:tc>
        <w:tc>
          <w:tcPr>
            <w:tcW w:w="550" w:type="dxa"/>
          </w:tcPr>
          <w:p w:rsidR="00427BA9" w:rsidRDefault="00CE2045" w14:paraId="001000C4" w14:textId="001000C5">
            <w:pPr>
              <w:pStyle w:val="TableText"/>
              <w:jc w:val="center"/>
            </w:pPr>
            <w:r>
              <w:t>D</w:t>
            </w:r>
          </w:p>
        </w:tc>
        <w:tc>
          <w:tcPr>
            <w:tcW w:w="1150" w:type="dxa"/>
          </w:tcPr>
          <w:p w:rsidR="00427BA9" w:rsidRDefault="00CE2045" w14:paraId="001000C6" w14:textId="001000C7">
            <w:pPr>
              <w:pStyle w:val="TableText"/>
            </w:pPr>
            <w:r>
              <w:t>—</w:t>
            </w:r>
          </w:p>
        </w:tc>
        <w:tc>
          <w:tcPr>
            <w:tcW w:w="1700" w:type="dxa"/>
          </w:tcPr>
          <w:p w:rsidR="00427BA9" w:rsidRDefault="00CE2045" w14:paraId="001000C8" w14:textId="001000C9">
            <w:pPr>
              <w:pStyle w:val="TableText"/>
            </w:pPr>
            <w:r>
              <w:t>0.0%</w:t>
            </w:r>
          </w:p>
        </w:tc>
        <w:tc>
          <w:tcPr>
            <w:tcW w:w="750" w:type="dxa"/>
          </w:tcPr>
          <w:p w:rsidR="00427BA9" w:rsidRDefault="00CE2045" w14:paraId="001000CA" w14:textId="001000CB">
            <w:pPr>
              <w:pStyle w:val="TableText"/>
              <w:jc w:val="right"/>
            </w:pPr>
            <w:r>
              <w:t>—</w:t>
            </w:r>
          </w:p>
        </w:tc>
        <w:tc>
          <w:tcPr>
            <w:tcW w:w="1250" w:type="dxa"/>
          </w:tcPr>
          <w:p w:rsidR="00427BA9" w:rsidRDefault="00CE2045" w14:paraId="001000CC" w14:textId="001000CD">
            <w:pPr>
              <w:pStyle w:val="TableText"/>
            </w:pPr>
            <w:r>
              <w:t>—</w:t>
            </w:r>
          </w:p>
        </w:tc>
        <w:tc>
          <w:tcPr>
            <w:tcW w:w="2160" w:type="dxa"/>
          </w:tcPr>
          <w:p w:rsidR="00427BA9" w:rsidRDefault="00CE2045" w14:paraId="001000CE" w14:textId="001000CF">
            <w:pPr>
              <w:pStyle w:val="TableText"/>
            </w:pPr>
            <w:r>
              <w:t>1.1% of revenue; below materiality for sampling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0D0" w14:textId="001000D1">
            <w:pPr>
              <w:pStyle w:val="TableText"/>
            </w:pPr>
            <w:r>
              <w:t>core_margin</w:t>
            </w:r>
          </w:p>
        </w:tc>
        <w:tc>
          <w:tcPr>
            <w:tcW w:w="550" w:type="dxa"/>
          </w:tcPr>
          <w:p w:rsidR="00427BA9" w:rsidRDefault="00CE2045" w14:paraId="001000D2" w14:textId="001000D3">
            <w:pPr>
              <w:pStyle w:val="TableText"/>
              <w:jc w:val="center"/>
            </w:pPr>
            <w:r>
              <w:t>S</w:t>
            </w:r>
          </w:p>
        </w:tc>
        <w:tc>
          <w:tcPr>
            <w:tcW w:w="1150" w:type="dxa"/>
          </w:tcPr>
          <w:p w:rsidR="00427BA9" w:rsidRDefault="00CE2045" w14:paraId="001000D4" w14:textId="001000D5">
            <w:pPr>
              <w:pStyle w:val="TableText"/>
            </w:pPr>
            <w:r>
              <w:t>normal</w:t>
            </w:r>
          </w:p>
        </w:tc>
        <w:tc>
          <w:tcPr>
            <w:tcW w:w="1700" w:type="dxa"/>
          </w:tcPr>
          <w:p w:rsidR="00427BA9" w:rsidRDefault="00CE2045" w14:paraId="001000D6" w14:textId="001000D7">
            <w:pPr>
              <w:pStyle w:val="TableText"/>
            </w:pPr>
            <w:r>
              <w:t>19.4% (FY2025 endpoint)</w:t>
            </w:r>
          </w:p>
        </w:tc>
        <w:tc>
          <w:tcPr>
            <w:tcW w:w="750" w:type="dxa"/>
          </w:tcPr>
          <w:p w:rsidR="00427BA9" w:rsidRDefault="00CE2045" w14:paraId="001000D8" w14:textId="001000D9">
            <w:pPr>
              <w:pStyle w:val="TableText"/>
              <w:jc w:val="right"/>
            </w:pPr>
            <w:r>
              <w:t>2.0%</w:t>
            </w:r>
          </w:p>
        </w:tc>
        <w:tc>
          <w:tcPr>
            <w:tcW w:w="1250" w:type="dxa"/>
          </w:tcPr>
          <w:p w:rsidR="00427BA9" w:rsidRDefault="00CE2045" w14:paraId="001000DA" w14:textId="001000DB">
            <w:pPr>
              <w:pStyle w:val="TableText"/>
            </w:pPr>
            <w:r>
              <w:t>—</w:t>
            </w:r>
          </w:p>
        </w:tc>
        <w:tc>
          <w:tcPr>
            <w:tcW w:w="2160" w:type="dxa"/>
          </w:tcPr>
          <w:p w:rsidR="00427BA9" w:rsidRDefault="00CE2045" w14:paraId="001000DC" w14:textId="001000DD">
            <w:pPr>
              <w:pStyle w:val="TableText"/>
            </w:pPr>
            <w:r>
              <w:t>F19: three-year decline makes the endpoint, not the 5-year mean, the honest base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0DE" w14:textId="001000DF">
            <w:pPr>
              <w:pStyle w:val="TableText"/>
            </w:pPr>
            <w:r>
              <w:t>margin_mix_drift</w:t>
            </w:r>
          </w:p>
        </w:tc>
        <w:tc>
          <w:tcPr>
            <w:tcW w:w="550" w:type="dxa"/>
          </w:tcPr>
          <w:p w:rsidR="00427BA9" w:rsidRDefault="00CE2045" w14:paraId="001000E0" w14:textId="001000E1">
            <w:pPr>
              <w:pStyle w:val="TableText"/>
              <w:jc w:val="center"/>
            </w:pPr>
            <w:r>
              <w:t>D</w:t>
            </w:r>
          </w:p>
        </w:tc>
        <w:tc>
          <w:tcPr>
            <w:tcW w:w="1150" w:type="dxa"/>
          </w:tcPr>
          <w:p w:rsidR="00427BA9" w:rsidRDefault="00CE2045" w14:paraId="001000E2" w14:textId="001000E3">
            <w:pPr>
              <w:pStyle w:val="TableText"/>
            </w:pPr>
            <w:r>
              <w:t>schedule</w:t>
            </w:r>
          </w:p>
        </w:tc>
        <w:tc>
          <w:tcPr>
            <w:tcW w:w="1700" w:type="dxa"/>
          </w:tcPr>
          <w:p w:rsidR="00427BA9" w:rsidRDefault="00CE2045" w14:paraId="001000E4" w14:textId="001000E5">
            <w:pPr>
              <w:pStyle w:val="TableText"/>
            </w:pPr>
            <w:r>
              <w:t>0 → +1.2pp by y10</w:t>
            </w:r>
          </w:p>
        </w:tc>
        <w:tc>
          <w:tcPr>
            <w:tcW w:w="750" w:type="dxa"/>
          </w:tcPr>
          <w:p w:rsidR="00427BA9" w:rsidRDefault="00CE2045" w14:paraId="001000E6" w14:textId="001000E7">
            <w:pPr>
              <w:pStyle w:val="TableText"/>
              <w:jc w:val="right"/>
            </w:pPr>
            <w:r>
              <w:t>—</w:t>
            </w:r>
          </w:p>
        </w:tc>
        <w:tc>
          <w:tcPr>
            <w:tcW w:w="1250" w:type="dxa"/>
          </w:tcPr>
          <w:p w:rsidR="00427BA9" w:rsidRDefault="00CE2045" w14:paraId="001000E8" w14:textId="001000E9">
            <w:pPr>
              <w:pStyle w:val="TableText"/>
            </w:pPr>
            <w:r>
              <w:t>linear</w:t>
            </w:r>
          </w:p>
        </w:tc>
        <w:tc>
          <w:tcPr>
            <w:tcW w:w="2160" w:type="dxa"/>
          </w:tcPr>
          <w:p w:rsidR="00427BA9" w:rsidRDefault="00CE2045" w14:paraId="001000EA" w14:textId="001000EB">
            <w:pPr>
              <w:pStyle w:val="TableText"/>
            </w:pPr>
            <w:r>
              <w:t>mechanical software-mix consequence of the growth means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0EC" w14:textId="001000ED">
            <w:pPr>
              <w:pStyle w:val="TableText"/>
            </w:pPr>
            <w:r>
              <w:t>sbc_ratio</w:t>
            </w:r>
          </w:p>
        </w:tc>
        <w:tc>
          <w:tcPr>
            <w:tcW w:w="550" w:type="dxa"/>
          </w:tcPr>
          <w:p w:rsidR="00427BA9" w:rsidRDefault="00CE2045" w14:paraId="001000EE" w14:textId="001000EF">
            <w:pPr>
              <w:pStyle w:val="TableText"/>
              <w:jc w:val="center"/>
            </w:pPr>
            <w:r>
              <w:t>D</w:t>
            </w:r>
          </w:p>
        </w:tc>
        <w:tc>
          <w:tcPr>
            <w:tcW w:w="1150" w:type="dxa"/>
          </w:tcPr>
          <w:p w:rsidR="00427BA9" w:rsidRDefault="00CE2045" w14:paraId="001000F0" w14:textId="001000F1">
            <w:pPr>
              <w:pStyle w:val="TableText"/>
            </w:pPr>
            <w:r>
              <w:t>schedule</w:t>
            </w:r>
          </w:p>
        </w:tc>
        <w:tc>
          <w:tcPr>
            <w:tcW w:w="1700" w:type="dxa"/>
          </w:tcPr>
          <w:p w:rsidR="00427BA9" w:rsidRDefault="00CE2045" w14:paraId="001000F2" w14:textId="001000F3">
            <w:pPr>
              <w:pStyle w:val="TableText"/>
            </w:pPr>
            <w:r>
              <w:t>2.54% → 3.5% by y10</w:t>
            </w:r>
          </w:p>
        </w:tc>
        <w:tc>
          <w:tcPr>
            <w:tcW w:w="750" w:type="dxa"/>
          </w:tcPr>
          <w:p w:rsidR="00427BA9" w:rsidRDefault="00CE2045" w14:paraId="001000F4" w14:textId="001000F5">
            <w:pPr>
              <w:pStyle w:val="TableText"/>
              <w:jc w:val="right"/>
            </w:pPr>
            <w:r>
              <w:t>—</w:t>
            </w:r>
          </w:p>
        </w:tc>
        <w:tc>
          <w:tcPr>
            <w:tcW w:w="1250" w:type="dxa"/>
          </w:tcPr>
          <w:p w:rsidR="00427BA9" w:rsidRDefault="00CE2045" w14:paraId="001000F6" w14:textId="001000F7">
            <w:pPr>
              <w:pStyle w:val="TableText"/>
            </w:pPr>
            <w:r>
              <w:t>linear</w:t>
            </w:r>
          </w:p>
        </w:tc>
        <w:tc>
          <w:tcPr>
            <w:tcW w:w="2160" w:type="dxa"/>
          </w:tcPr>
          <w:p w:rsidR="00427BA9" w:rsidRDefault="00CE2045" w14:paraId="001000F8" w14:textId="001000F9">
            <w:pPr>
              <w:pStyle w:val="TableText"/>
            </w:pPr>
            <w:r>
              <w:t>ratio rose ~1.7% → 2.54% since 2021; constant embeds a trend break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0FA" w14:textId="001000FB">
            <w:pPr>
              <w:pStyle w:val="TableText"/>
            </w:pPr>
            <w:r>
              <w:t>ma_ratio</w:t>
            </w:r>
          </w:p>
        </w:tc>
        <w:tc>
          <w:tcPr>
            <w:tcW w:w="550" w:type="dxa"/>
          </w:tcPr>
          <w:p w:rsidR="00427BA9" w:rsidRDefault="00CE2045" w14:paraId="001000FC" w14:textId="001000FD">
            <w:pPr>
              <w:pStyle w:val="TableText"/>
              <w:jc w:val="center"/>
            </w:pPr>
            <w:r>
              <w:t>S</w:t>
            </w:r>
          </w:p>
        </w:tc>
        <w:tc>
          <w:tcPr>
            <w:tcW w:w="1150" w:type="dxa"/>
          </w:tcPr>
          <w:p w:rsidR="00427BA9" w:rsidRDefault="00CE2045" w14:paraId="001000FE" w14:textId="001000FF">
            <w:pPr>
              <w:pStyle w:val="TableText"/>
            </w:pPr>
            <w:r>
              <w:t>truncnorm</w:t>
            </w:r>
          </w:p>
        </w:tc>
        <w:tc>
          <w:tcPr>
            <w:tcW w:w="1700" w:type="dxa"/>
          </w:tcPr>
          <w:p w:rsidR="00427BA9" w:rsidRDefault="00CE2045" w14:paraId="00100100" w14:textId="00100101">
            <w:pPr>
              <w:pStyle w:val="TableText"/>
            </w:pPr>
            <w:r>
              <w:t>7.1%</w:t>
            </w:r>
          </w:p>
        </w:tc>
        <w:tc>
          <w:tcPr>
            <w:tcW w:w="750" w:type="dxa"/>
          </w:tcPr>
          <w:p w:rsidR="00427BA9" w:rsidRDefault="00CE2045" w14:paraId="00100102" w14:textId="00100103">
            <w:pPr>
              <w:pStyle w:val="TableText"/>
              <w:jc w:val="right"/>
            </w:pPr>
            <w:r>
              <w:t>2.4%</w:t>
            </w:r>
          </w:p>
        </w:tc>
        <w:tc>
          <w:tcPr>
            <w:tcW w:w="1250" w:type="dxa"/>
          </w:tcPr>
          <w:p w:rsidR="00427BA9" w:rsidRDefault="00CE2045" w14:paraId="00100104" w14:textId="00100105">
            <w:pPr>
              <w:pStyle w:val="TableText"/>
            </w:pPr>
            <w:r>
              <w:t>lo 0 (3.0σ)</w:t>
            </w:r>
          </w:p>
        </w:tc>
        <w:tc>
          <w:tcPr>
            <w:tcW w:w="2160" w:type="dxa"/>
          </w:tcPr>
          <w:p w:rsidR="00427BA9" w:rsidRDefault="00CE2045" w14:paraId="00100106" w14:textId="00100107">
            <w:pPr>
              <w:pStyle w:val="TableText"/>
            </w:pPr>
            <w:r>
              <w:t>FY21–25 average 7.06%; decade-average dispersion at AR(1) ρ ≈ 0.8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108" w14:textId="00100109">
            <w:pPr>
              <w:pStyle w:val="TableText"/>
            </w:pPr>
            <w:r>
              <w:t>ma_recurrence</w:t>
            </w:r>
          </w:p>
        </w:tc>
        <w:tc>
          <w:tcPr>
            <w:tcW w:w="550" w:type="dxa"/>
          </w:tcPr>
          <w:p w:rsidR="00427BA9" w:rsidRDefault="00CE2045" w14:paraId="0010010A" w14:textId="0010010B">
            <w:pPr>
              <w:pStyle w:val="TableText"/>
              <w:jc w:val="center"/>
            </w:pPr>
            <w:r>
              <w:t>D</w:t>
            </w:r>
          </w:p>
        </w:tc>
        <w:tc>
          <w:tcPr>
            <w:tcW w:w="1150" w:type="dxa"/>
          </w:tcPr>
          <w:p w:rsidR="00427BA9" w:rsidRDefault="00CE2045" w14:paraId="0010010C" w14:textId="0010010D">
            <w:pPr>
              <w:pStyle w:val="TableText"/>
            </w:pPr>
            <w:r>
              <w:t>—</w:t>
            </w:r>
          </w:p>
        </w:tc>
        <w:tc>
          <w:tcPr>
            <w:tcW w:w="1700" w:type="dxa"/>
          </w:tcPr>
          <w:p w:rsidR="00427BA9" w:rsidRDefault="00CE2045" w14:paraId="0010010E" w14:textId="0010010F">
            <w:pPr>
              <w:pStyle w:val="TableText"/>
            </w:pPr>
            <w:r>
              <w:rPr>
                <w:b/>
              </w:rPr>
              <w:t>f = 0.50 (headline judgment)</w:t>
            </w:r>
          </w:p>
        </w:tc>
        <w:tc>
          <w:tcPr>
            <w:tcW w:w="750" w:type="dxa"/>
          </w:tcPr>
          <w:p w:rsidR="00427BA9" w:rsidRDefault="00CE2045" w14:paraId="00100110" w14:textId="00100111">
            <w:pPr>
              <w:pStyle w:val="TableText"/>
              <w:jc w:val="right"/>
            </w:pPr>
            <w:r>
              <w:t>—</w:t>
            </w:r>
          </w:p>
        </w:tc>
        <w:tc>
          <w:tcPr>
            <w:tcW w:w="1250" w:type="dxa"/>
          </w:tcPr>
          <w:p w:rsidR="00427BA9" w:rsidRDefault="00CE2045" w14:paraId="00100112" w14:textId="00100113">
            <w:pPr>
              <w:pStyle w:val="TableText"/>
            </w:pPr>
            <w:r>
              <w:t>—</w:t>
            </w:r>
          </w:p>
        </w:tc>
        <w:tc>
          <w:tcPr>
            <w:tcW w:w="2160" w:type="dxa"/>
          </w:tcPr>
          <w:p w:rsidR="00427BA9" w:rsidRDefault="00CE2045" w14:paraId="00100114" w14:textId="00100115">
            <w:pPr>
              <w:pStyle w:val="TableText"/>
            </w:pPr>
            <w:r>
              <w:t>pairing coherence; headline conditional on f; locus published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116" w14:textId="00100117">
            <w:pPr>
              <w:pStyle w:val="TableText"/>
            </w:pPr>
            <w:r>
              <w:t>rf</w:t>
            </w:r>
          </w:p>
        </w:tc>
        <w:tc>
          <w:tcPr>
            <w:tcW w:w="550" w:type="dxa"/>
          </w:tcPr>
          <w:p w:rsidR="00427BA9" w:rsidRDefault="00CE2045" w14:paraId="00100118" w14:textId="00100119">
            <w:pPr>
              <w:pStyle w:val="TableText"/>
              <w:jc w:val="center"/>
            </w:pPr>
            <w:r>
              <w:t>S</w:t>
            </w:r>
          </w:p>
        </w:tc>
        <w:tc>
          <w:tcPr>
            <w:tcW w:w="1150" w:type="dxa"/>
          </w:tcPr>
          <w:p w:rsidR="00427BA9" w:rsidRDefault="00CE2045" w14:paraId="0010011A" w14:textId="0010011B">
            <w:pPr>
              <w:pStyle w:val="TableText"/>
            </w:pPr>
            <w:r>
              <w:t>truncnorm</w:t>
            </w:r>
          </w:p>
        </w:tc>
        <w:tc>
          <w:tcPr>
            <w:tcW w:w="1700" w:type="dxa"/>
          </w:tcPr>
          <w:p w:rsidR="00427BA9" w:rsidRDefault="00CE2045" w14:paraId="0010011C" w14:textId="0010011D">
            <w:pPr>
              <w:pStyle w:val="TableText"/>
            </w:pPr>
            <w:r>
              <w:t>4.6% (10y spot, Jul 2026)</w:t>
            </w:r>
          </w:p>
        </w:tc>
        <w:tc>
          <w:tcPr>
            <w:tcW w:w="750" w:type="dxa"/>
          </w:tcPr>
          <w:p w:rsidR="00427BA9" w:rsidRDefault="00CE2045" w14:paraId="0010011E" w14:textId="0010011F">
            <w:pPr>
              <w:pStyle w:val="TableText"/>
              <w:jc w:val="right"/>
            </w:pPr>
            <w:r>
              <w:t>0.5%</w:t>
            </w:r>
          </w:p>
        </w:tc>
        <w:tc>
          <w:tcPr>
            <w:tcW w:w="1250" w:type="dxa"/>
          </w:tcPr>
          <w:p w:rsidR="00427BA9" w:rsidRDefault="00CE2045" w14:paraId="00100120" w14:textId="00100121">
            <w:pPr>
              <w:pStyle w:val="TableText"/>
            </w:pPr>
            <w:r>
              <w:t>lo 1% (formal guard)</w:t>
            </w:r>
          </w:p>
        </w:tc>
        <w:tc>
          <w:tcPr>
            <w:tcW w:w="2160" w:type="dxa"/>
          </w:tcPr>
          <w:p w:rsidR="00427BA9" w:rsidRDefault="00CE2045" w14:paraId="00100122" w14:textId="00100123">
            <w:pPr>
              <w:pStyle w:val="TableText"/>
            </w:pPr>
            <w:r>
              <w:t>permanent-component uncertainty, not annual rate vol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124" w14:textId="00100125">
            <w:pPr>
              <w:pStyle w:val="TableText"/>
            </w:pPr>
            <w:r>
              <w:t>beta</w:t>
            </w:r>
          </w:p>
        </w:tc>
        <w:tc>
          <w:tcPr>
            <w:tcW w:w="550" w:type="dxa"/>
          </w:tcPr>
          <w:p w:rsidR="00427BA9" w:rsidRDefault="00CE2045" w14:paraId="00100126" w14:textId="00100127">
            <w:pPr>
              <w:pStyle w:val="TableText"/>
              <w:jc w:val="center"/>
            </w:pPr>
            <w:r>
              <w:t>D</w:t>
            </w:r>
          </w:p>
        </w:tc>
        <w:tc>
          <w:tcPr>
            <w:tcW w:w="1150" w:type="dxa"/>
          </w:tcPr>
          <w:p w:rsidR="00427BA9" w:rsidRDefault="00CE2045" w14:paraId="00100128" w14:textId="00100129">
            <w:pPr>
              <w:pStyle w:val="TableText"/>
            </w:pPr>
            <w:r>
              <w:t>—</w:t>
            </w:r>
          </w:p>
        </w:tc>
        <w:tc>
          <w:tcPr>
            <w:tcW w:w="1700" w:type="dxa"/>
          </w:tcPr>
          <w:p w:rsidR="00427BA9" w:rsidRDefault="00CE2045" w14:paraId="0010012A" w14:textId="0010012B">
            <w:pPr>
              <w:pStyle w:val="TableText"/>
            </w:pPr>
            <w:r>
              <w:rPr>
                <w:b/>
              </w:rPr>
              <w:t>0.85 (judgment)</w:t>
            </w:r>
          </w:p>
        </w:tc>
        <w:tc>
          <w:tcPr>
            <w:tcW w:w="750" w:type="dxa"/>
          </w:tcPr>
          <w:p w:rsidR="00427BA9" w:rsidRDefault="00CE2045" w14:paraId="0010012C" w14:textId="0010012D">
            <w:pPr>
              <w:pStyle w:val="TableText"/>
              <w:jc w:val="right"/>
            </w:pPr>
            <w:r>
              <w:t>—</w:t>
            </w:r>
          </w:p>
        </w:tc>
        <w:tc>
          <w:tcPr>
            <w:tcW w:w="1250" w:type="dxa"/>
          </w:tcPr>
          <w:p w:rsidR="00427BA9" w:rsidRDefault="00CE2045" w14:paraId="0010012E" w14:textId="0010012F">
            <w:pPr>
              <w:pStyle w:val="TableText"/>
            </w:pPr>
            <w:r>
              <w:t>locus 0.68–1.00 published</w:t>
            </w:r>
          </w:p>
        </w:tc>
        <w:tc>
          <w:tcPr>
            <w:tcW w:w="2160" w:type="dxa"/>
          </w:tcPr>
          <w:p w:rsidR="00427BA9" w:rsidRDefault="00CE2045" w14:paraId="00100130" w14:textId="00100131">
            <w:pPr>
              <w:pStyle w:val="TableText"/>
            </w:pPr>
            <w:r>
              <w:t>epistemic constant; trailing ~0.68 vs higher forward risk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132" w14:textId="00100133">
            <w:pPr>
              <w:pStyle w:val="TableText"/>
            </w:pPr>
            <w:r>
              <w:t>erp</w:t>
            </w:r>
          </w:p>
        </w:tc>
        <w:tc>
          <w:tcPr>
            <w:tcW w:w="550" w:type="dxa"/>
          </w:tcPr>
          <w:p w:rsidR="00427BA9" w:rsidRDefault="00CE2045" w14:paraId="00100134" w14:textId="00100135">
            <w:pPr>
              <w:pStyle w:val="TableText"/>
              <w:jc w:val="center"/>
            </w:pPr>
            <w:r>
              <w:t>S</w:t>
            </w:r>
          </w:p>
        </w:tc>
        <w:tc>
          <w:tcPr>
            <w:tcW w:w="1150" w:type="dxa"/>
          </w:tcPr>
          <w:p w:rsidR="00427BA9" w:rsidRDefault="00CE2045" w14:paraId="00100136" w14:textId="00100137">
            <w:pPr>
              <w:pStyle w:val="TableText"/>
            </w:pPr>
            <w:r>
              <w:t>truncnorm</w:t>
            </w:r>
          </w:p>
        </w:tc>
        <w:tc>
          <w:tcPr>
            <w:tcW w:w="1700" w:type="dxa"/>
          </w:tcPr>
          <w:p w:rsidR="00427BA9" w:rsidRDefault="00CE2045" w14:paraId="00100138" w14:textId="00100139">
            <w:pPr>
              <w:pStyle w:val="TableText"/>
            </w:pPr>
            <w:r>
              <w:t>4.5% (Damodaran, Jul 2026) [9]</w:t>
            </w:r>
          </w:p>
        </w:tc>
        <w:tc>
          <w:tcPr>
            <w:tcW w:w="750" w:type="dxa"/>
          </w:tcPr>
          <w:p w:rsidR="00427BA9" w:rsidRDefault="00CE2045" w14:paraId="0010013A" w14:textId="0010013B">
            <w:pPr>
              <w:pStyle w:val="TableText"/>
              <w:jc w:val="right"/>
            </w:pPr>
            <w:r>
              <w:t>0.75%</w:t>
            </w:r>
          </w:p>
        </w:tc>
        <w:tc>
          <w:tcPr>
            <w:tcW w:w="1250" w:type="dxa"/>
          </w:tcPr>
          <w:p w:rsidR="00427BA9" w:rsidRDefault="00CE2045" w14:paraId="0010013C" w14:textId="0010013D">
            <w:pPr>
              <w:pStyle w:val="TableText"/>
            </w:pPr>
            <w:r>
              <w:t>lo 2%</w:t>
            </w:r>
          </w:p>
        </w:tc>
        <w:tc>
          <w:tcPr>
            <w:tcW w:w="2160" w:type="dxa"/>
          </w:tcPr>
          <w:p w:rsidR="00427BA9" w:rsidRDefault="00CE2045" w14:paraId="0010013E" w14:textId="0010013F">
            <w:pPr>
              <w:pStyle w:val="TableText"/>
            </w:pPr>
            <w:r>
              <w:t>state variable of risk appetite; comoves with demand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140" w14:textId="00100141">
            <w:pPr>
              <w:pStyle w:val="TableText"/>
            </w:pPr>
            <w:r>
              <w:t>kd_spread</w:t>
            </w:r>
          </w:p>
        </w:tc>
        <w:tc>
          <w:tcPr>
            <w:tcW w:w="550" w:type="dxa"/>
          </w:tcPr>
          <w:p w:rsidR="00427BA9" w:rsidRDefault="00CE2045" w14:paraId="00100142" w14:textId="00100143">
            <w:pPr>
              <w:pStyle w:val="TableText"/>
              <w:jc w:val="center"/>
            </w:pPr>
            <w:r>
              <w:t>D</w:t>
            </w:r>
          </w:p>
        </w:tc>
        <w:tc>
          <w:tcPr>
            <w:tcW w:w="1150" w:type="dxa"/>
          </w:tcPr>
          <w:p w:rsidR="00427BA9" w:rsidRDefault="00CE2045" w14:paraId="00100144" w14:textId="00100145">
            <w:pPr>
              <w:pStyle w:val="TableText"/>
            </w:pPr>
            <w:r>
              <w:t>—</w:t>
            </w:r>
          </w:p>
        </w:tc>
        <w:tc>
          <w:tcPr>
            <w:tcW w:w="1700" w:type="dxa"/>
          </w:tcPr>
          <w:p w:rsidR="00427BA9" w:rsidRDefault="00CE2045" w14:paraId="00100146" w14:textId="00100147">
            <w:pPr>
              <w:pStyle w:val="TableText"/>
            </w:pPr>
            <w:r>
              <w:t>−0.10% over rf</w:t>
            </w:r>
          </w:p>
        </w:tc>
        <w:tc>
          <w:tcPr>
            <w:tcW w:w="750" w:type="dxa"/>
          </w:tcPr>
          <w:p w:rsidR="00427BA9" w:rsidRDefault="00CE2045" w14:paraId="00100148" w14:textId="00100149">
            <w:pPr>
              <w:pStyle w:val="TableText"/>
              <w:jc w:val="right"/>
            </w:pPr>
            <w:r>
              <w:t>—</w:t>
            </w:r>
          </w:p>
        </w:tc>
        <w:tc>
          <w:tcPr>
            <w:tcW w:w="1250" w:type="dxa"/>
          </w:tcPr>
          <w:p w:rsidR="00427BA9" w:rsidRDefault="00CE2045" w14:paraId="0010014A" w14:textId="0010014B">
            <w:pPr>
              <w:pStyle w:val="TableText"/>
            </w:pPr>
            <w:r>
              <w:t>—</w:t>
            </w:r>
          </w:p>
        </w:tc>
        <w:tc>
          <w:tcPr>
            <w:tcW w:w="2160" w:type="dxa"/>
          </w:tcPr>
          <w:p w:rsidR="00427BA9" w:rsidRDefault="00CE2045" w14:paraId="0010014C" w14:textId="0010014D">
            <w:pPr>
              <w:pStyle w:val="TableText"/>
            </w:pPr>
            <w:r>
              <w:t>fair-value calibrated to the ~7y debt ladder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14E" w14:textId="0010014F">
            <w:pPr>
              <w:pStyle w:val="TableText"/>
            </w:pPr>
            <w:r>
              <w:lastRenderedPageBreak/>
              <w:t>tax_rate</w:t>
            </w:r>
          </w:p>
        </w:tc>
        <w:tc>
          <w:tcPr>
            <w:tcW w:w="550" w:type="dxa"/>
          </w:tcPr>
          <w:p w:rsidR="00427BA9" w:rsidRDefault="00CE2045" w14:paraId="00100150" w14:textId="00100151">
            <w:pPr>
              <w:pStyle w:val="TableText"/>
              <w:jc w:val="center"/>
            </w:pPr>
            <w:r>
              <w:t>D</w:t>
            </w:r>
          </w:p>
        </w:tc>
        <w:tc>
          <w:tcPr>
            <w:tcW w:w="1150" w:type="dxa"/>
          </w:tcPr>
          <w:p w:rsidR="00427BA9" w:rsidRDefault="00CE2045" w14:paraId="00100152" w14:textId="00100153">
            <w:pPr>
              <w:pStyle w:val="TableText"/>
            </w:pPr>
            <w:r>
              <w:t>—</w:t>
            </w:r>
          </w:p>
        </w:tc>
        <w:tc>
          <w:tcPr>
            <w:tcW w:w="1700" w:type="dxa"/>
          </w:tcPr>
          <w:p w:rsidR="00427BA9" w:rsidRDefault="00CE2045" w14:paraId="00100154" w14:textId="00100155">
            <w:pPr>
              <w:pStyle w:val="TableText"/>
            </w:pPr>
            <w:r>
              <w:t>21%</w:t>
            </w:r>
          </w:p>
        </w:tc>
        <w:tc>
          <w:tcPr>
            <w:tcW w:w="750" w:type="dxa"/>
          </w:tcPr>
          <w:p w:rsidR="00427BA9" w:rsidRDefault="00CE2045" w14:paraId="00100156" w14:textId="00100157">
            <w:pPr>
              <w:pStyle w:val="TableText"/>
              <w:jc w:val="right"/>
            </w:pPr>
            <w:r>
              <w:t>—</w:t>
            </w:r>
          </w:p>
        </w:tc>
        <w:tc>
          <w:tcPr>
            <w:tcW w:w="1250" w:type="dxa"/>
          </w:tcPr>
          <w:p w:rsidR="00427BA9" w:rsidRDefault="00CE2045" w14:paraId="00100158" w14:textId="00100159">
            <w:pPr>
              <w:pStyle w:val="TableText"/>
            </w:pPr>
            <w:r>
              <w:t>—</w:t>
            </w:r>
          </w:p>
        </w:tc>
        <w:tc>
          <w:tcPr>
            <w:tcW w:w="2160" w:type="dxa"/>
          </w:tcPr>
          <w:p w:rsidR="00427BA9" w:rsidRDefault="00CE2045" w14:paraId="0010015A" w14:textId="0010015B">
            <w:pPr>
              <w:pStyle w:val="TableText"/>
            </w:pPr>
            <w:r>
              <w:t>statutory shield; τ = 0 disclosure run published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15C" w14:textId="0010015D">
            <w:pPr>
              <w:pStyle w:val="TableText"/>
            </w:pPr>
            <w:r>
              <w:t>equity_weight</w:t>
            </w:r>
          </w:p>
        </w:tc>
        <w:tc>
          <w:tcPr>
            <w:tcW w:w="550" w:type="dxa"/>
          </w:tcPr>
          <w:p w:rsidR="00427BA9" w:rsidRDefault="00CE2045" w14:paraId="0010015E" w14:textId="0010015F">
            <w:pPr>
              <w:pStyle w:val="TableText"/>
              <w:jc w:val="center"/>
            </w:pPr>
            <w:r>
              <w:t>D</w:t>
            </w:r>
          </w:p>
        </w:tc>
        <w:tc>
          <w:tcPr>
            <w:tcW w:w="1150" w:type="dxa"/>
          </w:tcPr>
          <w:p w:rsidR="00427BA9" w:rsidRDefault="00CE2045" w14:paraId="00100160" w14:textId="00100161">
            <w:pPr>
              <w:pStyle w:val="TableText"/>
            </w:pPr>
            <w:r>
              <w:t>—</w:t>
            </w:r>
          </w:p>
        </w:tc>
        <w:tc>
          <w:tcPr>
            <w:tcW w:w="1700" w:type="dxa"/>
          </w:tcPr>
          <w:p w:rsidR="00427BA9" w:rsidRDefault="00CE2045" w14:paraId="00100162" w14:textId="00100163">
            <w:pPr>
              <w:pStyle w:val="TableText"/>
            </w:pPr>
            <w:r>
              <w:t>0.72</w:t>
            </w:r>
          </w:p>
        </w:tc>
        <w:tc>
          <w:tcPr>
            <w:tcW w:w="750" w:type="dxa"/>
          </w:tcPr>
          <w:p w:rsidR="00427BA9" w:rsidRDefault="00CE2045" w14:paraId="00100164" w14:textId="00100165">
            <w:pPr>
              <w:pStyle w:val="TableText"/>
              <w:jc w:val="right"/>
            </w:pPr>
            <w:r>
              <w:t>—</w:t>
            </w:r>
          </w:p>
        </w:tc>
        <w:tc>
          <w:tcPr>
            <w:tcW w:w="1250" w:type="dxa"/>
          </w:tcPr>
          <w:p w:rsidR="00427BA9" w:rsidRDefault="00CE2045" w14:paraId="00100166" w14:textId="00100167">
            <w:pPr>
              <w:pStyle w:val="TableText"/>
            </w:pPr>
            <w:r>
              <w:t>—</w:t>
            </w:r>
          </w:p>
        </w:tc>
        <w:tc>
          <w:tcPr>
            <w:tcW w:w="2160" w:type="dxa"/>
          </w:tcPr>
          <w:p w:rsidR="00427BA9" w:rsidRDefault="00CE2045" w14:paraId="00100168" w14:textId="00100169">
            <w:pPr>
              <w:pStyle w:val="TableText"/>
            </w:pPr>
            <w:r>
              <w:t>iterated price-value fixed point (converges to ≈0.726)</w:t>
            </w:r>
          </w:p>
        </w:tc>
      </w:tr>
      <w:tr w:rsidR="00427BA9">
        <w:tc>
          <w:tcPr>
            <w:tcW w:w="1800" w:type="dxa"/>
          </w:tcPr>
          <w:p w:rsidR="00427BA9" w:rsidRDefault="00CE2045" w14:paraId="0010016A" w14:textId="0010016B">
            <w:pPr>
              <w:pStyle w:val="TableText"/>
            </w:pPr>
            <w:r>
              <w:t>terminal_growth</w:t>
            </w:r>
          </w:p>
        </w:tc>
        <w:tc>
          <w:tcPr>
            <w:tcW w:w="550" w:type="dxa"/>
          </w:tcPr>
          <w:p w:rsidR="00427BA9" w:rsidRDefault="00CE2045" w14:paraId="0010016C" w14:textId="0010016D">
            <w:pPr>
              <w:pStyle w:val="TableText"/>
              <w:jc w:val="center"/>
            </w:pPr>
            <w:r>
              <w:t>S</w:t>
            </w:r>
          </w:p>
        </w:tc>
        <w:tc>
          <w:tcPr>
            <w:tcW w:w="1150" w:type="dxa"/>
          </w:tcPr>
          <w:p w:rsidR="00427BA9" w:rsidRDefault="00CE2045" w14:paraId="0010016E" w14:textId="0010016F">
            <w:pPr>
              <w:pStyle w:val="TableText"/>
            </w:pPr>
            <w:r>
              <w:t>normal</w:t>
            </w:r>
          </w:p>
        </w:tc>
        <w:tc>
          <w:tcPr>
            <w:tcW w:w="1700" w:type="dxa"/>
          </w:tcPr>
          <w:p w:rsidR="00427BA9" w:rsidRDefault="00CE2045" w14:paraId="00100170" w14:textId="00100171">
            <w:pPr>
              <w:pStyle w:val="TableText"/>
            </w:pPr>
            <w:r>
              <w:t>2.25%</w:t>
            </w:r>
          </w:p>
        </w:tc>
        <w:tc>
          <w:tcPr>
            <w:tcW w:w="750" w:type="dxa"/>
          </w:tcPr>
          <w:p w:rsidR="00427BA9" w:rsidRDefault="00CE2045" w14:paraId="00100172" w14:textId="00100173">
            <w:pPr>
              <w:pStyle w:val="TableText"/>
              <w:jc w:val="right"/>
            </w:pPr>
            <w:r>
              <w:t>0.75%</w:t>
            </w:r>
          </w:p>
        </w:tc>
        <w:tc>
          <w:tcPr>
            <w:tcW w:w="1250" w:type="dxa"/>
          </w:tcPr>
          <w:p w:rsidR="00427BA9" w:rsidRDefault="00CE2045" w14:paraId="00100174" w14:textId="00100175">
            <w:pPr>
              <w:pStyle w:val="TableText"/>
            </w:pPr>
            <w:r>
              <w:t>joint guard tg &lt; WACC − 2%</w:t>
            </w:r>
          </w:p>
        </w:tc>
        <w:tc>
          <w:tcPr>
            <w:tcW w:w="2160" w:type="dxa"/>
          </w:tcPr>
          <w:p w:rsidR="00427BA9" w:rsidRDefault="00CE2045" w14:paraId="00100176" w14:textId="00100177">
            <w:pPr>
              <w:pStyle w:val="TableText"/>
            </w:pPr>
            <w:r>
              <w:t>world-state outcome, correlated with realized growth</w:t>
            </w:r>
          </w:p>
        </w:tc>
      </w:tr>
    </w:tbl>
    <w:p w:rsidR="00427BA9" w:rsidRDefault="00CE2045" w14:paraId="00100178" w14:textId="00100179">
      <w:pPr>
        <w:spacing w:before="120"/>
        <w:ind w:firstLine="360"/>
      </w:pPr>
      <w:r>
        <w:t>The correlation matrix over the eight stochastic drivers is reproduced in full in Appendix A (25 non-zero entries plus three deliberate zeros, each an assumption with a rationale row in DRIVERS.md; positive semi-definite, minimum eigenvalue 0.419). One regime disclosure matters: rf·g &gt; 0 assumes demand-driven rates; the supply-shock sensitivity (rf·g = −0.15) is published by the engine — the median is nearly unchanged ($151.89) and the tails widen.</w:t>
      </w:r>
    </w:p>
    <w:p w:rsidR="00427BA9" w:rsidRDefault="00CE2045" w14:paraId="0010017A" w14:textId="0010017B">
      <w:pPr>
        <w:spacing w:after="120"/>
        <w:ind w:firstLine="360"/>
      </w:pPr>
      <w:r>
        <w:t xml:space="preserve">The fundamentals grounding these parameters (SEC EDGAR via </w:t>
      </w:r>
      <w:r>
        <w:rPr>
          <w:rFonts w:ascii="Consolas" w:hAnsi="Consolas" w:eastAsia="Consolas"/>
          <w:sz w:val="19"/>
        </w:rPr>
        <w:t>scripts.analyze IBM</w:t>
      </w:r>
      <w:r>
        <w:t>; margin basis defined in README v3):</w:t>
      </w:r>
    </w:p>
    <w:tbl>
      <w:tblPr>
        <w:tblW w:w="5000" w:type="pct"/>
        <w:tblBorders>
          <w:top w:val="single" w:color="1F3864" w:sz="12" w:space="0"/>
          <w:left w:val="none" w:color="auto" w:sz="4" w:space="0"/>
          <w:bottom w:val="single" w:color="1F3864" w:sz="12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28"/>
        <w:gridCol w:w="1108"/>
        <w:gridCol w:w="1108"/>
        <w:gridCol w:w="977"/>
        <w:gridCol w:w="890"/>
        <w:gridCol w:w="803"/>
        <w:gridCol w:w="1370"/>
        <w:gridCol w:w="1422"/>
      </w:tblGrid>
      <w:tr w:rsidR="00427BA9">
        <w:trPr>
          <w:tblHeader/>
        </w:trPr>
        <w:tc>
          <w:tcPr>
            <w:tcW w:w="700" w:type="dxa"/>
            <w:tcBorders>
              <w:bottom w:val="single" w:color="1F3864" w:sz="6" w:space="0"/>
            </w:tcBorders>
          </w:tcPr>
          <w:p w:rsidR="00427BA9" w:rsidRDefault="00CE2045" w14:paraId="0010017C" w14:textId="0010017D">
            <w:pPr>
              <w:pStyle w:val="TableText"/>
            </w:pPr>
            <w:r>
              <w:rPr>
                <w:b/>
              </w:rPr>
              <w:t>FY</w:t>
            </w:r>
          </w:p>
        </w:tc>
        <w:tc>
          <w:tcPr>
            <w:tcW w:w="1250" w:type="dxa"/>
            <w:tcBorders>
              <w:bottom w:val="single" w:color="1F3864" w:sz="6" w:space="0"/>
            </w:tcBorders>
          </w:tcPr>
          <w:p w:rsidR="00427BA9" w:rsidRDefault="00CE2045" w14:paraId="0010017E" w14:textId="0010017F">
            <w:pPr>
              <w:pStyle w:val="TableText"/>
              <w:jc w:val="right"/>
            </w:pPr>
            <w:r>
              <w:rPr>
                <w:b/>
              </w:rPr>
              <w:t>Revenue</w:t>
            </w:r>
          </w:p>
        </w:tc>
        <w:tc>
          <w:tcPr>
            <w:tcW w:w="1250" w:type="dxa"/>
            <w:tcBorders>
              <w:bottom w:val="single" w:color="1F3864" w:sz="6" w:space="0"/>
            </w:tcBorders>
          </w:tcPr>
          <w:p w:rsidR="00427BA9" w:rsidRDefault="00CE2045" w14:paraId="00100180" w14:textId="00100181">
            <w:pPr>
              <w:pStyle w:val="TableText"/>
              <w:jc w:val="right"/>
            </w:pPr>
            <w:r>
              <w:rPr>
                <w:b/>
              </w:rPr>
              <w:t>Net income</w:t>
            </w:r>
          </w:p>
        </w:tc>
        <w:tc>
          <w:tcPr>
            <w:tcW w:w="1100" w:type="dxa"/>
            <w:tcBorders>
              <w:bottom w:val="single" w:color="1F3864" w:sz="6" w:space="0"/>
            </w:tcBorders>
          </w:tcPr>
          <w:p w:rsidR="00427BA9" w:rsidRDefault="00CE2045" w14:paraId="00100182" w14:textId="00100183">
            <w:pPr>
              <w:pStyle w:val="TableText"/>
              <w:jc w:val="right"/>
            </w:pPr>
            <w:r>
              <w:rPr>
                <w:b/>
              </w:rPr>
              <w:t>OCF</w:t>
            </w:r>
          </w:p>
        </w:tc>
        <w:tc>
          <w:tcPr>
            <w:tcW w:w="1000" w:type="dxa"/>
            <w:tcBorders>
              <w:bottom w:val="single" w:color="1F3864" w:sz="6" w:space="0"/>
            </w:tcBorders>
          </w:tcPr>
          <w:p w:rsidR="00427BA9" w:rsidRDefault="00CE2045" w14:paraId="00100184" w14:textId="00100185">
            <w:pPr>
              <w:pStyle w:val="TableText"/>
              <w:jc w:val="right"/>
            </w:pPr>
            <w:r>
              <w:rPr>
                <w:b/>
              </w:rPr>
              <w:t>CapEx</w:t>
            </w:r>
          </w:p>
        </w:tc>
        <w:tc>
          <w:tcPr>
            <w:tcW w:w="900" w:type="dxa"/>
            <w:tcBorders>
              <w:bottom w:val="single" w:color="1F3864" w:sz="6" w:space="0"/>
            </w:tcBorders>
          </w:tcPr>
          <w:p w:rsidR="00427BA9" w:rsidRDefault="00CE2045" w14:paraId="00100186" w14:textId="00100187">
            <w:pPr>
              <w:pStyle w:val="TableText"/>
              <w:jc w:val="right"/>
            </w:pPr>
            <w:r>
              <w:rPr>
                <w:b/>
              </w:rPr>
              <w:t>SBC</w:t>
            </w:r>
          </w:p>
        </w:tc>
        <w:tc>
          <w:tcPr>
            <w:tcW w:w="1550" w:type="dxa"/>
            <w:tcBorders>
              <w:bottom w:val="single" w:color="1F3864" w:sz="6" w:space="0"/>
            </w:tcBorders>
          </w:tcPr>
          <w:p w:rsidR="00427BA9" w:rsidRDefault="00CE2045" w14:paraId="00100188" w14:textId="00100189">
            <w:pPr>
              <w:pStyle w:val="TableText"/>
              <w:jc w:val="right"/>
            </w:pPr>
            <w:r>
              <w:rPr>
                <w:b/>
              </w:rPr>
              <w:t>Acquisitions</w:t>
            </w:r>
          </w:p>
        </w:tc>
        <w:tc>
          <w:tcPr>
            <w:tcW w:w="1610" w:type="dxa"/>
            <w:tcBorders>
              <w:bottom w:val="single" w:color="1F3864" w:sz="6" w:space="0"/>
            </w:tcBorders>
          </w:tcPr>
          <w:p w:rsidR="00427BA9" w:rsidRDefault="00CE2045" w14:paraId="0010018A" w14:textId="0010018B">
            <w:pPr>
              <w:pStyle w:val="TableText"/>
              <w:jc w:val="right"/>
            </w:pPr>
            <w:r>
              <w:rPr>
                <w:b/>
              </w:rPr>
              <w:t>FCFF v3 margin</w:t>
            </w:r>
          </w:p>
        </w:tc>
      </w:tr>
      <w:tr w:rsidR="00427BA9">
        <w:tc>
          <w:tcPr>
            <w:tcW w:w="700" w:type="dxa"/>
          </w:tcPr>
          <w:p w:rsidR="00427BA9" w:rsidRDefault="00CE2045" w14:paraId="0010018C" w14:textId="0010018D">
            <w:pPr>
              <w:pStyle w:val="TableText"/>
            </w:pPr>
            <w:r>
              <w:t>2021</w:t>
            </w:r>
          </w:p>
        </w:tc>
        <w:tc>
          <w:tcPr>
            <w:tcW w:w="1250" w:type="dxa"/>
          </w:tcPr>
          <w:p w:rsidR="00427BA9" w:rsidRDefault="00CE2045" w14:paraId="0010018E" w14:textId="0010018F">
            <w:pPr>
              <w:pStyle w:val="TableText"/>
              <w:jc w:val="right"/>
            </w:pPr>
            <w:r>
              <w:t>$57.4B</w:t>
            </w:r>
          </w:p>
        </w:tc>
        <w:tc>
          <w:tcPr>
            <w:tcW w:w="1250" w:type="dxa"/>
          </w:tcPr>
          <w:p w:rsidR="00427BA9" w:rsidRDefault="00CE2045" w14:paraId="00100190" w14:textId="00100191">
            <w:pPr>
              <w:pStyle w:val="TableText"/>
              <w:jc w:val="right"/>
            </w:pPr>
            <w:r>
              <w:t>$5.7B</w:t>
            </w:r>
          </w:p>
        </w:tc>
        <w:tc>
          <w:tcPr>
            <w:tcW w:w="1100" w:type="dxa"/>
          </w:tcPr>
          <w:p w:rsidR="00427BA9" w:rsidRDefault="00CE2045" w14:paraId="00100192" w14:textId="00100193">
            <w:pPr>
              <w:pStyle w:val="TableText"/>
              <w:jc w:val="right"/>
            </w:pPr>
            <w:r>
              <w:t>$12.8B</w:t>
            </w:r>
          </w:p>
        </w:tc>
        <w:tc>
          <w:tcPr>
            <w:tcW w:w="1000" w:type="dxa"/>
          </w:tcPr>
          <w:p w:rsidR="00427BA9" w:rsidRDefault="00CE2045" w14:paraId="00100194" w14:textId="00100195">
            <w:pPr>
              <w:pStyle w:val="TableText"/>
              <w:jc w:val="right"/>
            </w:pPr>
            <w:r>
              <w:t>$2.1B</w:t>
            </w:r>
          </w:p>
        </w:tc>
        <w:tc>
          <w:tcPr>
            <w:tcW w:w="900" w:type="dxa"/>
          </w:tcPr>
          <w:p w:rsidR="00427BA9" w:rsidRDefault="00CE2045" w14:paraId="00100196" w14:textId="00100197">
            <w:pPr>
              <w:pStyle w:val="TableText"/>
              <w:jc w:val="right"/>
            </w:pPr>
            <w:r>
              <w:t>$1.0B</w:t>
            </w:r>
          </w:p>
        </w:tc>
        <w:tc>
          <w:tcPr>
            <w:tcW w:w="1550" w:type="dxa"/>
          </w:tcPr>
          <w:p w:rsidR="00427BA9" w:rsidRDefault="00CE2045" w14:paraId="00100198" w14:textId="00100199">
            <w:pPr>
              <w:pStyle w:val="TableText"/>
              <w:jc w:val="right"/>
            </w:pPr>
            <w:r>
              <w:t>$3.3B</w:t>
            </w:r>
          </w:p>
        </w:tc>
        <w:tc>
          <w:tcPr>
            <w:tcW w:w="1610" w:type="dxa"/>
          </w:tcPr>
          <w:p w:rsidR="00427BA9" w:rsidRDefault="00CE2045" w14:paraId="0010019A" w14:textId="0010019B">
            <w:pPr>
              <w:pStyle w:val="TableText"/>
              <w:jc w:val="right"/>
            </w:pPr>
            <w:r>
              <w:t>18.5%</w:t>
            </w:r>
          </w:p>
        </w:tc>
      </w:tr>
      <w:tr w:rsidR="00427BA9">
        <w:tc>
          <w:tcPr>
            <w:tcW w:w="700" w:type="dxa"/>
          </w:tcPr>
          <w:p w:rsidR="00427BA9" w:rsidRDefault="00CE2045" w14:paraId="0010019C" w14:textId="0010019D">
            <w:pPr>
              <w:pStyle w:val="TableText"/>
            </w:pPr>
            <w:r>
              <w:t>2022</w:t>
            </w:r>
          </w:p>
        </w:tc>
        <w:tc>
          <w:tcPr>
            <w:tcW w:w="1250" w:type="dxa"/>
          </w:tcPr>
          <w:p w:rsidR="00427BA9" w:rsidRDefault="00CE2045" w14:paraId="0010019E" w14:textId="0010019F">
            <w:pPr>
              <w:pStyle w:val="TableText"/>
              <w:jc w:val="right"/>
            </w:pPr>
            <w:r>
              <w:t>$60.5B</w:t>
            </w:r>
          </w:p>
        </w:tc>
        <w:tc>
          <w:tcPr>
            <w:tcW w:w="1250" w:type="dxa"/>
          </w:tcPr>
          <w:p w:rsidR="00427BA9" w:rsidRDefault="00CE2045" w14:paraId="001001A0" w14:textId="001001A1">
            <w:pPr>
              <w:pStyle w:val="TableText"/>
              <w:jc w:val="right"/>
            </w:pPr>
            <w:r>
              <w:t>$1.6B</w:t>
            </w:r>
          </w:p>
        </w:tc>
        <w:tc>
          <w:tcPr>
            <w:tcW w:w="1100" w:type="dxa"/>
          </w:tcPr>
          <w:p w:rsidR="00427BA9" w:rsidRDefault="00CE2045" w14:paraId="001001A2" w14:textId="001001A3">
            <w:pPr>
              <w:pStyle w:val="TableText"/>
              <w:jc w:val="right"/>
            </w:pPr>
            <w:r>
              <w:t>$10.4B</w:t>
            </w:r>
          </w:p>
        </w:tc>
        <w:tc>
          <w:tcPr>
            <w:tcW w:w="1000" w:type="dxa"/>
          </w:tcPr>
          <w:p w:rsidR="00427BA9" w:rsidRDefault="00CE2045" w14:paraId="001001A4" w14:textId="001001A5">
            <w:pPr>
              <w:pStyle w:val="TableText"/>
              <w:jc w:val="right"/>
            </w:pPr>
            <w:r>
              <w:t>$1.3B</w:t>
            </w:r>
          </w:p>
        </w:tc>
        <w:tc>
          <w:tcPr>
            <w:tcW w:w="900" w:type="dxa"/>
          </w:tcPr>
          <w:p w:rsidR="00427BA9" w:rsidRDefault="00CE2045" w14:paraId="001001A6" w14:textId="001001A7">
            <w:pPr>
              <w:pStyle w:val="TableText"/>
              <w:jc w:val="right"/>
            </w:pPr>
            <w:r>
              <w:t>$1.0B</w:t>
            </w:r>
          </w:p>
        </w:tc>
        <w:tc>
          <w:tcPr>
            <w:tcW w:w="1550" w:type="dxa"/>
          </w:tcPr>
          <w:p w:rsidR="00427BA9" w:rsidRDefault="00CE2045" w14:paraId="001001A8" w14:textId="001001A9">
            <w:pPr>
              <w:pStyle w:val="TableText"/>
              <w:jc w:val="right"/>
            </w:pPr>
            <w:r>
              <w:t>$2.3B</w:t>
            </w:r>
          </w:p>
        </w:tc>
        <w:tc>
          <w:tcPr>
            <w:tcW w:w="1610" w:type="dxa"/>
          </w:tcPr>
          <w:p w:rsidR="00427BA9" w:rsidRDefault="00CE2045" w14:paraId="001001AA" w14:textId="001001AB">
            <w:pPr>
              <w:pStyle w:val="TableText"/>
              <w:jc w:val="right"/>
            </w:pPr>
            <w:r>
              <w:t>14.8%</w:t>
            </w:r>
          </w:p>
        </w:tc>
      </w:tr>
      <w:tr w:rsidR="00427BA9">
        <w:tc>
          <w:tcPr>
            <w:tcW w:w="700" w:type="dxa"/>
          </w:tcPr>
          <w:p w:rsidR="00427BA9" w:rsidRDefault="00CE2045" w14:paraId="001001AC" w14:textId="001001AD">
            <w:pPr>
              <w:pStyle w:val="TableText"/>
            </w:pPr>
            <w:r>
              <w:t>2023</w:t>
            </w:r>
          </w:p>
        </w:tc>
        <w:tc>
          <w:tcPr>
            <w:tcW w:w="1250" w:type="dxa"/>
          </w:tcPr>
          <w:p w:rsidR="00427BA9" w:rsidRDefault="00CE2045" w14:paraId="001001AE" w14:textId="001001AF">
            <w:pPr>
              <w:pStyle w:val="TableText"/>
              <w:jc w:val="right"/>
            </w:pPr>
            <w:r>
              <w:t>$61.9B</w:t>
            </w:r>
          </w:p>
        </w:tc>
        <w:tc>
          <w:tcPr>
            <w:tcW w:w="1250" w:type="dxa"/>
          </w:tcPr>
          <w:p w:rsidR="00427BA9" w:rsidRDefault="00CE2045" w14:paraId="001001B0" w14:textId="001001B1">
            <w:pPr>
              <w:pStyle w:val="TableText"/>
              <w:jc w:val="right"/>
            </w:pPr>
            <w:r>
              <w:t>$7.5B</w:t>
            </w:r>
          </w:p>
        </w:tc>
        <w:tc>
          <w:tcPr>
            <w:tcW w:w="1100" w:type="dxa"/>
          </w:tcPr>
          <w:p w:rsidR="00427BA9" w:rsidRDefault="00CE2045" w14:paraId="001001B2" w14:textId="001001B3">
            <w:pPr>
              <w:pStyle w:val="TableText"/>
              <w:jc w:val="right"/>
            </w:pPr>
            <w:r>
              <w:t>$13.9B</w:t>
            </w:r>
          </w:p>
        </w:tc>
        <w:tc>
          <w:tcPr>
            <w:tcW w:w="1000" w:type="dxa"/>
          </w:tcPr>
          <w:p w:rsidR="00427BA9" w:rsidRDefault="00CE2045" w14:paraId="001001B4" w14:textId="001001B5">
            <w:pPr>
              <w:pStyle w:val="TableText"/>
              <w:jc w:val="right"/>
            </w:pPr>
            <w:r>
              <w:t>$1.2B</w:t>
            </w:r>
          </w:p>
        </w:tc>
        <w:tc>
          <w:tcPr>
            <w:tcW w:w="900" w:type="dxa"/>
          </w:tcPr>
          <w:p w:rsidR="00427BA9" w:rsidRDefault="00CE2045" w14:paraId="001001B6" w14:textId="001001B7">
            <w:pPr>
              <w:pStyle w:val="TableText"/>
              <w:jc w:val="right"/>
            </w:pPr>
            <w:r>
              <w:t>$1.1B</w:t>
            </w:r>
          </w:p>
        </w:tc>
        <w:tc>
          <w:tcPr>
            <w:tcW w:w="1550" w:type="dxa"/>
          </w:tcPr>
          <w:p w:rsidR="00427BA9" w:rsidRDefault="00CE2045" w14:paraId="001001B8" w14:textId="001001B9">
            <w:pPr>
              <w:pStyle w:val="TableText"/>
              <w:jc w:val="right"/>
            </w:pPr>
            <w:r>
              <w:t>$5.1B</w:t>
            </w:r>
          </w:p>
        </w:tc>
        <w:tc>
          <w:tcPr>
            <w:tcW w:w="1610" w:type="dxa"/>
          </w:tcPr>
          <w:p w:rsidR="00427BA9" w:rsidRDefault="00CE2045" w14:paraId="001001BA" w14:textId="001001BB">
            <w:pPr>
              <w:pStyle w:val="TableText"/>
              <w:jc w:val="right"/>
            </w:pPr>
            <w:r>
              <w:t>19.9%</w:t>
            </w:r>
          </w:p>
        </w:tc>
      </w:tr>
      <w:tr w:rsidR="00427BA9">
        <w:tc>
          <w:tcPr>
            <w:tcW w:w="700" w:type="dxa"/>
          </w:tcPr>
          <w:p w:rsidR="00427BA9" w:rsidRDefault="00CE2045" w14:paraId="001001BC" w14:textId="001001BD">
            <w:pPr>
              <w:pStyle w:val="TableText"/>
            </w:pPr>
            <w:r>
              <w:t>2024</w:t>
            </w:r>
          </w:p>
        </w:tc>
        <w:tc>
          <w:tcPr>
            <w:tcW w:w="1250" w:type="dxa"/>
          </w:tcPr>
          <w:p w:rsidR="00427BA9" w:rsidRDefault="00CE2045" w14:paraId="001001BE" w14:textId="001001BF">
            <w:pPr>
              <w:pStyle w:val="TableText"/>
              <w:jc w:val="right"/>
            </w:pPr>
            <w:r>
              <w:t>$62.8B</w:t>
            </w:r>
          </w:p>
        </w:tc>
        <w:tc>
          <w:tcPr>
            <w:tcW w:w="1250" w:type="dxa"/>
          </w:tcPr>
          <w:p w:rsidR="00427BA9" w:rsidRDefault="00CE2045" w14:paraId="001001C0" w14:textId="001001C1">
            <w:pPr>
              <w:pStyle w:val="TableText"/>
              <w:jc w:val="right"/>
            </w:pPr>
            <w:r>
              <w:t>$6.0B</w:t>
            </w:r>
          </w:p>
        </w:tc>
        <w:tc>
          <w:tcPr>
            <w:tcW w:w="1100" w:type="dxa"/>
          </w:tcPr>
          <w:p w:rsidR="00427BA9" w:rsidRDefault="00CE2045" w14:paraId="001001C2" w14:textId="001001C3">
            <w:pPr>
              <w:pStyle w:val="TableText"/>
              <w:jc w:val="right"/>
            </w:pPr>
            <w:r>
              <w:t>$13.4B</w:t>
            </w:r>
          </w:p>
        </w:tc>
        <w:tc>
          <w:tcPr>
            <w:tcW w:w="1000" w:type="dxa"/>
          </w:tcPr>
          <w:p w:rsidR="00427BA9" w:rsidRDefault="00CE2045" w14:paraId="001001C4" w14:textId="001001C5">
            <w:pPr>
              <w:pStyle w:val="TableText"/>
              <w:jc w:val="right"/>
            </w:pPr>
            <w:r>
              <w:t>$1.0B</w:t>
            </w:r>
          </w:p>
        </w:tc>
        <w:tc>
          <w:tcPr>
            <w:tcW w:w="900" w:type="dxa"/>
          </w:tcPr>
          <w:p w:rsidR="00427BA9" w:rsidRDefault="00CE2045" w14:paraId="001001C6" w14:textId="001001C7">
            <w:pPr>
              <w:pStyle w:val="TableText"/>
              <w:jc w:val="right"/>
            </w:pPr>
            <w:r>
              <w:t>$1.3B</w:t>
            </w:r>
          </w:p>
        </w:tc>
        <w:tc>
          <w:tcPr>
            <w:tcW w:w="1550" w:type="dxa"/>
          </w:tcPr>
          <w:p w:rsidR="00427BA9" w:rsidRDefault="00CE2045" w14:paraId="001001C8" w14:textId="001001C9">
            <w:pPr>
              <w:pStyle w:val="TableText"/>
              <w:jc w:val="right"/>
            </w:pPr>
            <w:r>
              <w:t>$3.3B</w:t>
            </w:r>
          </w:p>
        </w:tc>
        <w:tc>
          <w:tcPr>
            <w:tcW w:w="1610" w:type="dxa"/>
          </w:tcPr>
          <w:p w:rsidR="00427BA9" w:rsidRDefault="00CE2045" w14:paraId="001001CA" w14:textId="001001CB">
            <w:pPr>
              <w:pStyle w:val="TableText"/>
              <w:jc w:val="right"/>
            </w:pPr>
            <w:r>
              <w:t>18.9%</w:t>
            </w:r>
          </w:p>
        </w:tc>
      </w:tr>
      <w:tr w:rsidR="00427BA9">
        <w:tc>
          <w:tcPr>
            <w:tcW w:w="700" w:type="dxa"/>
          </w:tcPr>
          <w:p w:rsidR="00427BA9" w:rsidRDefault="00CE2045" w14:paraId="001001CC" w14:textId="001001CD">
            <w:pPr>
              <w:pStyle w:val="TableText"/>
            </w:pPr>
            <w:r>
              <w:t>2025</w:t>
            </w:r>
          </w:p>
        </w:tc>
        <w:tc>
          <w:tcPr>
            <w:tcW w:w="1250" w:type="dxa"/>
          </w:tcPr>
          <w:p w:rsidR="00427BA9" w:rsidRDefault="00CE2045" w14:paraId="001001CE" w14:textId="001001CF">
            <w:pPr>
              <w:pStyle w:val="TableText"/>
              <w:jc w:val="right"/>
            </w:pPr>
            <w:r>
              <w:t>$67.5B</w:t>
            </w:r>
          </w:p>
        </w:tc>
        <w:tc>
          <w:tcPr>
            <w:tcW w:w="1250" w:type="dxa"/>
          </w:tcPr>
          <w:p w:rsidR="00427BA9" w:rsidRDefault="00CE2045" w14:paraId="001001D0" w14:textId="001001D1">
            <w:pPr>
              <w:pStyle w:val="TableText"/>
              <w:jc w:val="right"/>
            </w:pPr>
            <w:r>
              <w:t>$10.6B</w:t>
            </w:r>
          </w:p>
        </w:tc>
        <w:tc>
          <w:tcPr>
            <w:tcW w:w="1100" w:type="dxa"/>
          </w:tcPr>
          <w:p w:rsidR="00427BA9" w:rsidRDefault="00CE2045" w14:paraId="001001D2" w14:textId="001001D3">
            <w:pPr>
              <w:pStyle w:val="TableText"/>
              <w:jc w:val="right"/>
            </w:pPr>
            <w:r>
              <w:t>$13.2B</w:t>
            </w:r>
          </w:p>
        </w:tc>
        <w:tc>
          <w:tcPr>
            <w:tcW w:w="1000" w:type="dxa"/>
          </w:tcPr>
          <w:p w:rsidR="00427BA9" w:rsidRDefault="00CE2045" w14:paraId="001001D4" w14:textId="001001D5">
            <w:pPr>
              <w:pStyle w:val="TableText"/>
              <w:jc w:val="right"/>
            </w:pPr>
            <w:r>
              <w:t>$1.1B</w:t>
            </w:r>
          </w:p>
        </w:tc>
        <w:tc>
          <w:tcPr>
            <w:tcW w:w="900" w:type="dxa"/>
          </w:tcPr>
          <w:p w:rsidR="00427BA9" w:rsidRDefault="00CE2045" w14:paraId="001001D6" w14:textId="001001D7">
            <w:pPr>
              <w:pStyle w:val="TableText"/>
              <w:jc w:val="right"/>
            </w:pPr>
            <w:r>
              <w:t>$1.7B</w:t>
            </w:r>
          </w:p>
        </w:tc>
        <w:tc>
          <w:tcPr>
            <w:tcW w:w="1550" w:type="dxa"/>
          </w:tcPr>
          <w:p w:rsidR="00427BA9" w:rsidRDefault="00CE2045" w14:paraId="001001D8" w14:textId="001001D9">
            <w:pPr>
              <w:pStyle w:val="TableText"/>
              <w:jc w:val="right"/>
            </w:pPr>
            <w:r>
              <w:t>$8.3B</w:t>
            </w:r>
          </w:p>
        </w:tc>
        <w:tc>
          <w:tcPr>
            <w:tcW w:w="1610" w:type="dxa"/>
          </w:tcPr>
          <w:p w:rsidR="00427BA9" w:rsidRDefault="00CE2045" w14:paraId="001001DA" w14:textId="001001DB">
            <w:pPr>
              <w:pStyle w:val="TableText"/>
              <w:jc w:val="right"/>
            </w:pPr>
            <w:r>
              <w:t>16.9%</w:t>
            </w:r>
          </w:p>
        </w:tc>
      </w:tr>
    </w:tbl>
    <w:p w:rsidR="00427BA9" w:rsidRDefault="00CE2045" w14:paraId="001001DC" w14:textId="001001DD">
      <w:pPr>
        <w:spacing w:before="120"/>
        <w:ind w:firstLine="360"/>
      </w:pPr>
      <w:r>
        <w:t xml:space="preserve">FY2025 capital-return arithmetic frames the bear case: OCF $13.2B − capex $1.1B − dividends $6.3B − acquisitions $8.3B = </w:t>
      </w:r>
      <w:r>
        <w:rPr>
          <w:b/>
        </w:rPr>
        <w:t>−$2.5B</w:t>
      </w:r>
      <w:r>
        <w:t>, funded by a $6.3B debt increase. The dividend-plus-M&amp;A model is currently debt-funded.</w:t>
      </w:r>
    </w:p>
    <w:p w:rsidR="00427BA9" w:rsidRDefault="00CE2045" w14:paraId="001001DE" w14:textId="001001DF">
      <w:pPr>
        <w:pStyle w:val="Heading2"/>
      </w:pPr>
      <w:bookmarkStart w:name="_Toc235121486" w:id="5"/>
      <w:r>
        <w:t>3.3 Discount rate</w:t>
      </w:r>
      <w:bookmarkEnd w:id="5"/>
    </w:p>
    <w:p w:rsidR="00427BA9" w:rsidRDefault="00CE2045" w14:paraId="001001E0" w14:textId="001001E1">
      <w:pPr>
        <w:ind w:firstLine="360"/>
      </w:pPr>
      <w:r>
        <w:t xml:space="preserve">At driver means: 0.72 × (4.6% + 0.85 × 4.5%) + 0.28 × (4.6% − 0.10%) × (1 − 21%) </w:t>
      </w:r>
      <w:r>
        <w:rPr>
          <w:b/>
        </w:rPr>
        <w:t>= 7.06%</w:t>
      </w:r>
      <w:r>
        <w:t xml:space="preserve"> (Monte Carlo std 0.56%). Every input is externally sourced: rf 4.6% is the 10-year Treasury spot; ERP is Damodaran’s July 2026 implied premium (4.45%, carried as 4.5% in the register) [9]; kd is derived per path from rf at a fair-value-calibrated −10bp spread; E/V = 0.72 is the iterated price-value fixed point, not the circular post-crash market weight. The v3 “7.5% top-of-band” position is retired, not back-solved — the gap decomposes as rf +17bp, ERP −15bp, E/V −14bp, kd −17bp, and retirement of the old top-of-band rounding −15bp. The WACC level alone is worth ≈ +$11.5/share versus 7.34% and +$17.6/share versus 7.50%. Residual </w:t>
      </w:r>
      <w:r>
        <w:lastRenderedPageBreak/>
        <w:t>conservatism lives transparently in β = 0.85 (versus trailing ~0.68), with the beta locus published in Section 4.</w:t>
      </w:r>
    </w:p>
    <w:p w:rsidR="00427BA9" w:rsidRDefault="00CE2045" w14:paraId="001001E2" w14:textId="001001E3">
      <w:pPr>
        <w:pStyle w:val="Heading2"/>
      </w:pPr>
      <w:bookmarkStart w:name="_Toc235121487" w:id="6"/>
      <w:r>
        <w:t>3.4 How the model got here: v1 to v4 under adversarial review</w:t>
      </w:r>
      <w:bookmarkEnd w:id="6"/>
    </w:p>
    <w:p w:rsidR="00427BA9" w:rsidRDefault="00CE2045" w14:paraId="001001E4" w14:textId="001001E5">
      <w:pPr>
        <w:ind w:firstLine="360"/>
      </w:pPr>
      <w:r>
        <w:t>This is the fourth version of the valuation, and each step down was an identified error, not a change of opinion. v1 concluded “fairly valued at $212” on a $202 median — retracted after review found debt charged twice, $22.3B of acquisitions treated as free while their growth was credited, and an unsourced 8.5% WACC (findings F1–F3 in the adversarial-review ledger, REVIEW.md). v2’s rebuild ($166) surfaced a net-debt bridge that double-counted stocks whose flows stayed in the margin (finding F15) and an incoherent growth/M&amp;A pairing (finding F16). v3 ($141, signed off) fixed both and published full parameter vectors. v4 rebuilt the model driver-by-driver: 19 independent driver reviews — eighteen of nineteen demanded revisions; all were resolved — plus four consolidation reviews moved the median to $151.84 — chiefly by replacing the top-of-band 7.5% WACC with the fully sourced 7.06% build, offset by an endpoint-based margin, an SBC ramp, and a higher M&amp;A charge (DRIVER-REVIEW.md). The binding dispositions ledger is REVIEW.md; nothing retracted there is resurrected here.</w:t>
      </w:r>
    </w:p>
    <w:p w:rsidR="00427BA9" w:rsidRDefault="00CE2045" w14:paraId="001001E6" w14:textId="001001E7">
      <w:pPr>
        <w:pStyle w:val="Heading1"/>
      </w:pPr>
      <w:bookmarkStart w:name="_Toc235121488" w:id="7"/>
      <w:r>
        <w:t>4. Results</w:t>
      </w:r>
      <w:bookmarkEnd w:id="7"/>
    </w:p>
    <w:p w:rsidR="00427BA9" w:rsidRDefault="00CE2045" w14:paraId="001001E8" w14:textId="001001E9">
      <w:pPr>
        <w:ind w:firstLine="360"/>
      </w:pPr>
      <w:r>
        <w:rPr>
          <w:b/>
        </w:rPr>
        <w:t>Headline (engine-verified, seed 7, 10k sims, conditional on f = 0.50): P10 $83.84 / P50 $151.84 / P90 $258.03.</w:t>
      </w:r>
      <w:r>
        <w:t xml:space="preserve"> TV/EV at means 64.1%; terminal-growth guard pinned on 0.09% of paths.</w:t>
      </w:r>
    </w:p>
    <w:p w:rsidR="00427BA9" w:rsidRDefault="00CE2045" w14:paraId="001001EA" w14:textId="001001EB">
      <w:pPr>
        <w:pBdr>
          <w:left w:val="single" w:color="1F3864" w:sz="18" w:space="0"/>
        </w:pBdr>
        <w:shd w:val="clear" w:color="auto" w:fill="EEF1F7"/>
        <w:spacing w:before="200" w:after="200"/>
        <w:ind w:left="240" w:right="240" w:firstLine="360"/>
      </w:pPr>
      <w:r>
        <w:rPr>
          <w:b/>
        </w:rPr>
        <w:t>Tail caveat — applies to every bracket in this report.</w:t>
      </w:r>
      <w:r>
        <w:t xml:space="preserve"> Each path holds one growth draw for all ten years; mean reversion is unmodeled (ticketed model improvement T-DCF-1, the largest known distortion), so the left tail is understated even after the v4 correlation matrix fattened it relative to v3. “P50s are robust; P10s are optimistic. No margin-of-safety claim is made from these tails” (README v3 tail caveat, per the F6 disposition — the adversarial review’s tail-sampling finding; carried verbatim). With TV/EV at 64.1%, the valuation leans heavily on the Gordon inputs. Until AR(1) growth lands, treat P10/P90 as decorative.</w:t>
      </w:r>
    </w:p>
    <w:p w:rsidR="00427BA9" w:rsidRDefault="00CE2045" w14:paraId="001001EC" w14:textId="001001ED">
      <w:pPr>
        <w:spacing w:after="120"/>
        <w:ind w:firstLine="360"/>
      </w:pPr>
      <w:r>
        <w:rPr>
          <w:b/>
        </w:rPr>
        <w:t>Attribution</w:t>
      </w:r>
      <w:r>
        <w:t xml:space="preserve"> (P50 delta at mean ± 1σ, same seed, correlations intact — engine output):</w:t>
      </w:r>
    </w:p>
    <w:tbl>
      <w:tblPr>
        <w:tblW w:w="5000" w:type="pct"/>
        <w:tblBorders>
          <w:top w:val="single" w:color="1F3864" w:sz="12" w:space="0"/>
          <w:left w:val="none" w:color="auto" w:sz="4" w:space="0"/>
          <w:bottom w:val="single" w:color="1F3864" w:sz="12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192"/>
        <w:gridCol w:w="2557"/>
        <w:gridCol w:w="2557"/>
      </w:tblGrid>
      <w:tr w:rsidR="00427BA9">
        <w:trPr>
          <w:tblHeader/>
        </w:trPr>
        <w:tc>
          <w:tcPr>
            <w:tcW w:w="3600" w:type="dxa"/>
            <w:tcBorders>
              <w:bottom w:val="single" w:color="1F3864" w:sz="6" w:space="0"/>
            </w:tcBorders>
          </w:tcPr>
          <w:p w:rsidR="00427BA9" w:rsidRDefault="00CE2045" w14:paraId="001001EE" w14:textId="001001EF">
            <w:pPr>
              <w:pStyle w:val="TableText"/>
            </w:pPr>
            <w:r>
              <w:rPr>
                <w:b/>
              </w:rPr>
              <w:t>Driver</w:t>
            </w:r>
          </w:p>
        </w:tc>
        <w:tc>
          <w:tcPr>
            <w:tcW w:w="2880" w:type="dxa"/>
            <w:tcBorders>
              <w:bottom w:val="single" w:color="1F3864" w:sz="6" w:space="0"/>
            </w:tcBorders>
          </w:tcPr>
          <w:p w:rsidR="00427BA9" w:rsidRDefault="00CE2045" w14:paraId="001001F0" w14:textId="001001F1">
            <w:pPr>
              <w:pStyle w:val="TableText"/>
              <w:jc w:val="right"/>
            </w:pPr>
            <w:r>
              <w:rPr>
                <w:b/>
              </w:rPr>
              <w:t>−1σ</w:t>
            </w:r>
          </w:p>
        </w:tc>
        <w:tc>
          <w:tcPr>
            <w:tcW w:w="2880" w:type="dxa"/>
            <w:tcBorders>
              <w:bottom w:val="single" w:color="1F3864" w:sz="6" w:space="0"/>
            </w:tcBorders>
          </w:tcPr>
          <w:p w:rsidR="00427BA9" w:rsidRDefault="00CE2045" w14:paraId="001001F2" w14:textId="001001F3">
            <w:pPr>
              <w:pStyle w:val="TableText"/>
              <w:jc w:val="right"/>
            </w:pPr>
            <w:r>
              <w:rPr>
                <w:b/>
              </w:rPr>
              <w:t>+1σ</w:t>
            </w:r>
          </w:p>
        </w:tc>
      </w:tr>
      <w:tr w:rsidR="00427BA9">
        <w:tc>
          <w:tcPr>
            <w:tcW w:w="3600" w:type="dxa"/>
          </w:tcPr>
          <w:p w:rsidR="00427BA9" w:rsidRDefault="00CE2045" w14:paraId="001001F4" w14:textId="001001F5">
            <w:pPr>
              <w:pStyle w:val="TableText"/>
            </w:pPr>
            <w:r>
              <w:t>core_margin</w:t>
            </w:r>
          </w:p>
        </w:tc>
        <w:tc>
          <w:tcPr>
            <w:tcW w:w="2880" w:type="dxa"/>
          </w:tcPr>
          <w:p w:rsidR="00427BA9" w:rsidRDefault="00CE2045" w14:paraId="001001F6" w14:textId="001001F7">
            <w:pPr>
              <w:pStyle w:val="TableText"/>
              <w:jc w:val="right"/>
            </w:pPr>
            <w:r>
              <w:t>−$31.34</w:t>
            </w:r>
          </w:p>
        </w:tc>
        <w:tc>
          <w:tcPr>
            <w:tcW w:w="2880" w:type="dxa"/>
          </w:tcPr>
          <w:p w:rsidR="00427BA9" w:rsidRDefault="00CE2045" w14:paraId="001001F8" w14:textId="001001F9">
            <w:pPr>
              <w:pStyle w:val="TableText"/>
              <w:jc w:val="right"/>
            </w:pPr>
            <w:r>
              <w:t>+$31.43</w:t>
            </w:r>
          </w:p>
        </w:tc>
      </w:tr>
      <w:tr w:rsidR="00427BA9">
        <w:tc>
          <w:tcPr>
            <w:tcW w:w="3600" w:type="dxa"/>
          </w:tcPr>
          <w:p w:rsidR="00427BA9" w:rsidRDefault="00CE2045" w14:paraId="001001FA" w14:textId="001001FB">
            <w:pPr>
              <w:pStyle w:val="TableText"/>
            </w:pPr>
            <w:r>
              <w:t>terminal_growth</w:t>
            </w:r>
          </w:p>
        </w:tc>
        <w:tc>
          <w:tcPr>
            <w:tcW w:w="2880" w:type="dxa"/>
          </w:tcPr>
          <w:p w:rsidR="00427BA9" w:rsidRDefault="00CE2045" w14:paraId="001001FC" w14:textId="001001FD">
            <w:pPr>
              <w:pStyle w:val="TableText"/>
              <w:jc w:val="right"/>
            </w:pPr>
            <w:r>
              <w:t>−$19.27</w:t>
            </w:r>
          </w:p>
        </w:tc>
        <w:tc>
          <w:tcPr>
            <w:tcW w:w="2880" w:type="dxa"/>
          </w:tcPr>
          <w:p w:rsidR="00427BA9" w:rsidRDefault="00CE2045" w14:paraId="001001FE" w14:textId="001001FF">
            <w:pPr>
              <w:pStyle w:val="TableText"/>
              <w:jc w:val="right"/>
            </w:pPr>
            <w:r>
              <w:t>+$26.34</w:t>
            </w:r>
          </w:p>
        </w:tc>
      </w:tr>
      <w:tr w:rsidR="00427BA9">
        <w:tc>
          <w:tcPr>
            <w:tcW w:w="3600" w:type="dxa"/>
          </w:tcPr>
          <w:p w:rsidR="00427BA9" w:rsidRDefault="00CE2045" w14:paraId="00100200" w14:textId="00100201">
            <w:pPr>
              <w:pStyle w:val="TableText"/>
            </w:pPr>
            <w:r>
              <w:t>rf</w:t>
            </w:r>
          </w:p>
        </w:tc>
        <w:tc>
          <w:tcPr>
            <w:tcW w:w="2880" w:type="dxa"/>
          </w:tcPr>
          <w:p w:rsidR="00427BA9" w:rsidRDefault="00CE2045" w14:paraId="00100202" w14:textId="00100203">
            <w:pPr>
              <w:pStyle w:val="TableText"/>
              <w:jc w:val="right"/>
            </w:pPr>
            <w:r>
              <w:t>+$23.29</w:t>
            </w:r>
          </w:p>
        </w:tc>
        <w:tc>
          <w:tcPr>
            <w:tcW w:w="2880" w:type="dxa"/>
          </w:tcPr>
          <w:p w:rsidR="00427BA9" w:rsidRDefault="00CE2045" w14:paraId="00100204" w14:textId="00100205">
            <w:pPr>
              <w:pStyle w:val="TableText"/>
              <w:jc w:val="right"/>
            </w:pPr>
            <w:r>
              <w:t>−$18.96</w:t>
            </w:r>
          </w:p>
        </w:tc>
      </w:tr>
      <w:tr w:rsidR="00427BA9">
        <w:tc>
          <w:tcPr>
            <w:tcW w:w="3600" w:type="dxa"/>
          </w:tcPr>
          <w:p w:rsidR="00427BA9" w:rsidRDefault="00CE2045" w14:paraId="00100206" w14:textId="00100207">
            <w:pPr>
              <w:pStyle w:val="TableText"/>
            </w:pPr>
            <w:r>
              <w:lastRenderedPageBreak/>
              <w:t>erp</w:t>
            </w:r>
          </w:p>
        </w:tc>
        <w:tc>
          <w:tcPr>
            <w:tcW w:w="2880" w:type="dxa"/>
          </w:tcPr>
          <w:p w:rsidR="00427BA9" w:rsidRDefault="00CE2045" w14:paraId="00100208" w14:textId="00100209">
            <w:pPr>
              <w:pStyle w:val="TableText"/>
              <w:jc w:val="right"/>
            </w:pPr>
            <w:r>
              <w:t>+$22.68</w:t>
            </w:r>
          </w:p>
        </w:tc>
        <w:tc>
          <w:tcPr>
            <w:tcW w:w="2880" w:type="dxa"/>
          </w:tcPr>
          <w:p w:rsidR="00427BA9" w:rsidRDefault="00CE2045" w14:paraId="0010020A" w14:textId="0010020B">
            <w:pPr>
              <w:pStyle w:val="TableText"/>
              <w:jc w:val="right"/>
            </w:pPr>
            <w:r>
              <w:t>−$18.54</w:t>
            </w:r>
          </w:p>
        </w:tc>
      </w:tr>
      <w:tr w:rsidR="00427BA9">
        <w:tc>
          <w:tcPr>
            <w:tcW w:w="3600" w:type="dxa"/>
          </w:tcPr>
          <w:p w:rsidR="00427BA9" w:rsidRDefault="00CE2045" w14:paraId="0010020C" w14:textId="0010020D">
            <w:pPr>
              <w:pStyle w:val="TableText"/>
            </w:pPr>
            <w:r>
              <w:t>g_software</w:t>
            </w:r>
          </w:p>
        </w:tc>
        <w:tc>
          <w:tcPr>
            <w:tcW w:w="2880" w:type="dxa"/>
          </w:tcPr>
          <w:p w:rsidR="00427BA9" w:rsidRDefault="00CE2045" w14:paraId="0010020E" w14:textId="0010020F">
            <w:pPr>
              <w:pStyle w:val="TableText"/>
              <w:jc w:val="right"/>
            </w:pPr>
            <w:r>
              <w:t>−$18.18</w:t>
            </w:r>
          </w:p>
        </w:tc>
        <w:tc>
          <w:tcPr>
            <w:tcW w:w="2880" w:type="dxa"/>
          </w:tcPr>
          <w:p w:rsidR="00427BA9" w:rsidRDefault="00CE2045" w14:paraId="00100210" w14:textId="00100211">
            <w:pPr>
              <w:pStyle w:val="TableText"/>
              <w:jc w:val="right"/>
            </w:pPr>
            <w:r>
              <w:t>+$21.19</w:t>
            </w:r>
          </w:p>
        </w:tc>
      </w:tr>
      <w:tr w:rsidR="00427BA9">
        <w:tc>
          <w:tcPr>
            <w:tcW w:w="3600" w:type="dxa"/>
          </w:tcPr>
          <w:p w:rsidR="00427BA9" w:rsidRDefault="00CE2045" w14:paraId="00100212" w14:textId="00100213">
            <w:pPr>
              <w:pStyle w:val="TableText"/>
            </w:pPr>
            <w:r>
              <w:t>ma_ratio</w:t>
            </w:r>
          </w:p>
        </w:tc>
        <w:tc>
          <w:tcPr>
            <w:tcW w:w="2880" w:type="dxa"/>
          </w:tcPr>
          <w:p w:rsidR="00427BA9" w:rsidRDefault="00CE2045" w14:paraId="00100214" w14:textId="00100215">
            <w:pPr>
              <w:pStyle w:val="TableText"/>
              <w:jc w:val="right"/>
            </w:pPr>
            <w:r>
              <w:t>+$18.75</w:t>
            </w:r>
          </w:p>
        </w:tc>
        <w:tc>
          <w:tcPr>
            <w:tcW w:w="2880" w:type="dxa"/>
          </w:tcPr>
          <w:p w:rsidR="00427BA9" w:rsidRDefault="00CE2045" w14:paraId="00100216" w14:textId="00100217">
            <w:pPr>
              <w:pStyle w:val="TableText"/>
              <w:jc w:val="right"/>
            </w:pPr>
            <w:r>
              <w:t>−$18.71</w:t>
            </w:r>
          </w:p>
        </w:tc>
      </w:tr>
      <w:tr w:rsidR="00427BA9">
        <w:tc>
          <w:tcPr>
            <w:tcW w:w="3600" w:type="dxa"/>
          </w:tcPr>
          <w:p w:rsidR="00427BA9" w:rsidRDefault="00CE2045" w14:paraId="00100218" w14:textId="00100219">
            <w:pPr>
              <w:pStyle w:val="TableText"/>
            </w:pPr>
            <w:r>
              <w:t>g_consulting</w:t>
            </w:r>
          </w:p>
        </w:tc>
        <w:tc>
          <w:tcPr>
            <w:tcW w:w="2880" w:type="dxa"/>
          </w:tcPr>
          <w:p w:rsidR="00427BA9" w:rsidRDefault="00CE2045" w14:paraId="0010021A" w14:textId="0010021B">
            <w:pPr>
              <w:pStyle w:val="TableText"/>
              <w:jc w:val="right"/>
            </w:pPr>
            <w:r>
              <w:t>−$9.87</w:t>
            </w:r>
          </w:p>
        </w:tc>
        <w:tc>
          <w:tcPr>
            <w:tcW w:w="2880" w:type="dxa"/>
          </w:tcPr>
          <w:p w:rsidR="00427BA9" w:rsidRDefault="00CE2045" w14:paraId="0010021C" w14:textId="0010021D">
            <w:pPr>
              <w:pStyle w:val="TableText"/>
              <w:jc w:val="right"/>
            </w:pPr>
            <w:r>
              <w:t>+$11.66</w:t>
            </w:r>
          </w:p>
        </w:tc>
      </w:tr>
      <w:tr w:rsidR="00427BA9">
        <w:tc>
          <w:tcPr>
            <w:tcW w:w="3600" w:type="dxa"/>
          </w:tcPr>
          <w:p w:rsidR="00427BA9" w:rsidRDefault="00CE2045" w14:paraId="0010021E" w14:textId="0010021F">
            <w:pPr>
              <w:pStyle w:val="TableText"/>
            </w:pPr>
            <w:r>
              <w:t>g_infrastructure</w:t>
            </w:r>
          </w:p>
        </w:tc>
        <w:tc>
          <w:tcPr>
            <w:tcW w:w="2880" w:type="dxa"/>
          </w:tcPr>
          <w:p w:rsidR="00427BA9" w:rsidRDefault="00CE2045" w14:paraId="00100220" w14:textId="00100221">
            <w:pPr>
              <w:pStyle w:val="TableText"/>
              <w:jc w:val="right"/>
            </w:pPr>
            <w:r>
              <w:t>−$5.45</w:t>
            </w:r>
          </w:p>
        </w:tc>
        <w:tc>
          <w:tcPr>
            <w:tcW w:w="2880" w:type="dxa"/>
          </w:tcPr>
          <w:p w:rsidR="00427BA9" w:rsidRDefault="00CE2045" w14:paraId="00100222" w14:textId="00100223">
            <w:pPr>
              <w:pStyle w:val="TableText"/>
              <w:jc w:val="right"/>
            </w:pPr>
            <w:r>
              <w:t>+$5.58</w:t>
            </w:r>
          </w:p>
        </w:tc>
      </w:tr>
    </w:tbl>
    <w:p w:rsidR="00427BA9" w:rsidRDefault="00CE2045" w14:paraId="00100224" w14:textId="00100225">
      <w:pPr>
        <w:spacing w:before="120"/>
        <w:ind w:firstLine="360"/>
      </w:pPr>
      <w:r>
        <w:t>The model’s verdict is margin-led: two points of core margin move the value by ±$31, more than any demand or rate driver.</w:t>
      </w:r>
    </w:p>
    <w:p w:rsidR="00427BA9" w:rsidRDefault="00CE2045" w14:paraId="00100226" w14:textId="00100227">
      <w:pPr>
        <w:spacing w:after="120"/>
        <w:ind w:firstLine="360"/>
      </w:pPr>
      <w:r>
        <w:rPr>
          <w:b/>
        </w:rPr>
        <w:t>Published loci</w:t>
      </w:r>
      <w:r>
        <w:t xml:space="preserve"> (each varies one judgment, everything else at base; engine output):</w:t>
      </w:r>
    </w:p>
    <w:tbl>
      <w:tblPr>
        <w:tblW w:w="5000" w:type="pct"/>
        <w:tblBorders>
          <w:top w:val="single" w:color="1F3864" w:sz="12" w:space="0"/>
          <w:left w:val="none" w:color="auto" w:sz="4" w:space="0"/>
          <w:bottom w:val="single" w:color="1F3864" w:sz="12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074"/>
        <w:gridCol w:w="2451"/>
        <w:gridCol w:w="1781"/>
      </w:tblGrid>
      <w:tr w:rsidR="00427BA9">
        <w:trPr>
          <w:tblHeader/>
        </w:trPr>
        <w:tc>
          <w:tcPr>
            <w:tcW w:w="4600" w:type="dxa"/>
            <w:tcBorders>
              <w:bottom w:val="single" w:color="1F3864" w:sz="6" w:space="0"/>
            </w:tcBorders>
          </w:tcPr>
          <w:p w:rsidR="00427BA9" w:rsidRDefault="00CE2045" w14:paraId="00100228" w14:textId="00100229">
            <w:pPr>
              <w:pStyle w:val="TableText"/>
            </w:pPr>
            <w:r>
              <w:rPr>
                <w:b/>
              </w:rPr>
              <w:t>Locus</w:t>
            </w:r>
          </w:p>
        </w:tc>
        <w:tc>
          <w:tcPr>
            <w:tcW w:w="2760" w:type="dxa"/>
            <w:tcBorders>
              <w:bottom w:val="single" w:color="1F3864" w:sz="6" w:space="0"/>
            </w:tcBorders>
          </w:tcPr>
          <w:p w:rsidR="00427BA9" w:rsidRDefault="00CE2045" w14:paraId="0010022A" w14:textId="0010022B">
            <w:pPr>
              <w:pStyle w:val="TableText"/>
            </w:pPr>
            <w:r>
              <w:rPr>
                <w:b/>
              </w:rPr>
              <w:t>Setting</w:t>
            </w:r>
          </w:p>
        </w:tc>
        <w:tc>
          <w:tcPr>
            <w:tcW w:w="2000" w:type="dxa"/>
            <w:tcBorders>
              <w:bottom w:val="single" w:color="1F3864" w:sz="6" w:space="0"/>
            </w:tcBorders>
          </w:tcPr>
          <w:p w:rsidR="00427BA9" w:rsidRDefault="00CE2045" w14:paraId="0010022C" w14:textId="0010022D">
            <w:pPr>
              <w:pStyle w:val="TableText"/>
              <w:jc w:val="right"/>
            </w:pPr>
            <w:r>
              <w:rPr>
                <w:b/>
              </w:rPr>
              <w:t>P50</w:t>
            </w:r>
          </w:p>
        </w:tc>
      </w:tr>
      <w:tr w:rsidR="00427BA9">
        <w:tc>
          <w:tcPr>
            <w:tcW w:w="4600" w:type="dxa"/>
          </w:tcPr>
          <w:p w:rsidR="00427BA9" w:rsidRDefault="00CE2045" w14:paraId="0010022E" w14:textId="0010022F">
            <w:pPr>
              <w:pStyle w:val="TableText"/>
            </w:pPr>
            <w:r>
              <w:t>M&amp;A recurrence (growth credit paired: g_software mean = 4.0% + f × 2.0%)</w:t>
            </w:r>
          </w:p>
        </w:tc>
        <w:tc>
          <w:tcPr>
            <w:tcW w:w="2760" w:type="dxa"/>
          </w:tcPr>
          <w:p w:rsidR="00427BA9" w:rsidRDefault="00CE2045" w14:paraId="00100230" w14:textId="00100231">
            <w:pPr>
              <w:pStyle w:val="TableText"/>
            </w:pPr>
            <w:r>
              <w:t>f = 0.00</w:t>
            </w:r>
          </w:p>
        </w:tc>
        <w:tc>
          <w:tcPr>
            <w:tcW w:w="2000" w:type="dxa"/>
          </w:tcPr>
          <w:p w:rsidR="00427BA9" w:rsidRDefault="00CE2045" w14:paraId="00100232" w14:textId="00100233">
            <w:pPr>
              <w:pStyle w:val="TableText"/>
              <w:jc w:val="right"/>
            </w:pPr>
            <w:r>
              <w:t>$197.79</w:t>
            </w:r>
          </w:p>
        </w:tc>
      </w:tr>
      <w:tr w:rsidR="00427BA9">
        <w:tc>
          <w:tcPr>
            <w:tcW w:w="4600" w:type="dxa"/>
          </w:tcPr>
          <w:p w:rsidR="00427BA9" w:rsidRDefault="00427BA9" w14:paraId="00100234" w14:textId="00100235">
            <w:pPr>
              <w:pStyle w:val="TableText"/>
            </w:pPr>
          </w:p>
        </w:tc>
        <w:tc>
          <w:tcPr>
            <w:tcW w:w="2760" w:type="dxa"/>
          </w:tcPr>
          <w:p w:rsidR="00427BA9" w:rsidRDefault="00CE2045" w14:paraId="00100236" w14:textId="00100237">
            <w:pPr>
              <w:pStyle w:val="TableText"/>
            </w:pPr>
            <w:r>
              <w:t>f = 0.25</w:t>
            </w:r>
          </w:p>
        </w:tc>
        <w:tc>
          <w:tcPr>
            <w:tcW w:w="2000" w:type="dxa"/>
          </w:tcPr>
          <w:p w:rsidR="00427BA9" w:rsidRDefault="00CE2045" w14:paraId="00100238" w14:textId="00100239">
            <w:pPr>
              <w:pStyle w:val="TableText"/>
              <w:jc w:val="right"/>
            </w:pPr>
            <w:r>
              <w:t>$175.37</w:t>
            </w:r>
          </w:p>
        </w:tc>
      </w:tr>
      <w:tr w:rsidR="00427BA9">
        <w:tc>
          <w:tcPr>
            <w:tcW w:w="4600" w:type="dxa"/>
          </w:tcPr>
          <w:p w:rsidR="00427BA9" w:rsidRDefault="00427BA9" w14:paraId="0010023A" w14:textId="0010023B">
            <w:pPr>
              <w:pStyle w:val="TableText"/>
            </w:pPr>
          </w:p>
        </w:tc>
        <w:tc>
          <w:tcPr>
            <w:tcW w:w="2760" w:type="dxa"/>
          </w:tcPr>
          <w:p w:rsidR="00427BA9" w:rsidRDefault="00CE2045" w14:paraId="0010023C" w14:textId="0010023D">
            <w:pPr>
              <w:pStyle w:val="TableText"/>
            </w:pPr>
            <w:r>
              <w:rPr>
                <w:b/>
              </w:rPr>
              <w:t>f = 0.50 (headline)</w:t>
            </w:r>
          </w:p>
        </w:tc>
        <w:tc>
          <w:tcPr>
            <w:tcW w:w="2000" w:type="dxa"/>
          </w:tcPr>
          <w:p w:rsidR="00427BA9" w:rsidRDefault="00CE2045" w14:paraId="0010023E" w14:textId="0010023F">
            <w:pPr>
              <w:pStyle w:val="TableText"/>
              <w:jc w:val="right"/>
            </w:pPr>
            <w:r>
              <w:rPr>
                <w:b/>
              </w:rPr>
              <w:t>$151.84</w:t>
            </w:r>
          </w:p>
        </w:tc>
      </w:tr>
      <w:tr w:rsidR="00427BA9">
        <w:tc>
          <w:tcPr>
            <w:tcW w:w="4600" w:type="dxa"/>
          </w:tcPr>
          <w:p w:rsidR="00427BA9" w:rsidRDefault="00427BA9" w14:paraId="00100240" w14:textId="00100241">
            <w:pPr>
              <w:pStyle w:val="TableText"/>
            </w:pPr>
          </w:p>
        </w:tc>
        <w:tc>
          <w:tcPr>
            <w:tcW w:w="2760" w:type="dxa"/>
          </w:tcPr>
          <w:p w:rsidR="00427BA9" w:rsidRDefault="00CE2045" w14:paraId="00100242" w14:textId="00100243">
            <w:pPr>
              <w:pStyle w:val="TableText"/>
            </w:pPr>
            <w:r>
              <w:t>f = 0.75</w:t>
            </w:r>
          </w:p>
        </w:tc>
        <w:tc>
          <w:tcPr>
            <w:tcW w:w="2000" w:type="dxa"/>
          </w:tcPr>
          <w:p w:rsidR="00427BA9" w:rsidRDefault="00CE2045" w14:paraId="00100244" w14:textId="00100245">
            <w:pPr>
              <w:pStyle w:val="TableText"/>
              <w:jc w:val="right"/>
            </w:pPr>
            <w:r>
              <w:t>$127.46</w:t>
            </w:r>
          </w:p>
        </w:tc>
      </w:tr>
      <w:tr w:rsidR="00427BA9">
        <w:tc>
          <w:tcPr>
            <w:tcW w:w="4600" w:type="dxa"/>
          </w:tcPr>
          <w:p w:rsidR="00427BA9" w:rsidRDefault="00427BA9" w14:paraId="00100246" w14:textId="00100247">
            <w:pPr>
              <w:pStyle w:val="TableText"/>
            </w:pPr>
          </w:p>
        </w:tc>
        <w:tc>
          <w:tcPr>
            <w:tcW w:w="2760" w:type="dxa"/>
          </w:tcPr>
          <w:p w:rsidR="00427BA9" w:rsidRDefault="00CE2045" w14:paraId="00100248" w14:textId="00100249">
            <w:pPr>
              <w:pStyle w:val="TableText"/>
            </w:pPr>
            <w:r>
              <w:t>f = 1.00</w:t>
            </w:r>
          </w:p>
        </w:tc>
        <w:tc>
          <w:tcPr>
            <w:tcW w:w="2000" w:type="dxa"/>
          </w:tcPr>
          <w:p w:rsidR="00427BA9" w:rsidRDefault="00CE2045" w14:paraId="0010024A" w14:textId="0010024B">
            <w:pPr>
              <w:pStyle w:val="TableText"/>
              <w:jc w:val="right"/>
            </w:pPr>
            <w:r>
              <w:t>$101.44</w:t>
            </w:r>
          </w:p>
        </w:tc>
      </w:tr>
      <w:tr w:rsidR="00427BA9">
        <w:tc>
          <w:tcPr>
            <w:tcW w:w="4600" w:type="dxa"/>
          </w:tcPr>
          <w:p w:rsidR="00427BA9" w:rsidRDefault="00CE2045" w14:paraId="0010024C" w14:textId="0010024D">
            <w:pPr>
              <w:pStyle w:val="TableText"/>
            </w:pPr>
            <w:r>
              <w:t>SBC ratio</w:t>
            </w:r>
          </w:p>
        </w:tc>
        <w:tc>
          <w:tcPr>
            <w:tcW w:w="2760" w:type="dxa"/>
          </w:tcPr>
          <w:p w:rsidR="00427BA9" w:rsidRDefault="00CE2045" w14:paraId="0010024E" w14:textId="0010024F">
            <w:pPr>
              <w:pStyle w:val="TableText"/>
            </w:pPr>
            <w:r>
              <w:t>flat 2.54%</w:t>
            </w:r>
          </w:p>
        </w:tc>
        <w:tc>
          <w:tcPr>
            <w:tcW w:w="2000" w:type="dxa"/>
          </w:tcPr>
          <w:p w:rsidR="00427BA9" w:rsidRDefault="00CE2045" w14:paraId="00100250" w14:textId="00100251">
            <w:pPr>
              <w:pStyle w:val="TableText"/>
              <w:jc w:val="right"/>
            </w:pPr>
            <w:r>
              <w:t>$164.11</w:t>
            </w:r>
          </w:p>
        </w:tc>
      </w:tr>
      <w:tr w:rsidR="00427BA9">
        <w:tc>
          <w:tcPr>
            <w:tcW w:w="4600" w:type="dxa"/>
          </w:tcPr>
          <w:p w:rsidR="00427BA9" w:rsidRDefault="00427BA9" w14:paraId="00100252" w14:textId="00100253">
            <w:pPr>
              <w:pStyle w:val="TableText"/>
            </w:pPr>
          </w:p>
        </w:tc>
        <w:tc>
          <w:tcPr>
            <w:tcW w:w="2760" w:type="dxa"/>
          </w:tcPr>
          <w:p w:rsidR="00427BA9" w:rsidRDefault="00CE2045" w14:paraId="00100254" w14:textId="00100255">
            <w:pPr>
              <w:pStyle w:val="TableText"/>
            </w:pPr>
            <w:r>
              <w:rPr>
                <w:b/>
              </w:rPr>
              <w:t>ramp to 3.5% (base)</w:t>
            </w:r>
          </w:p>
        </w:tc>
        <w:tc>
          <w:tcPr>
            <w:tcW w:w="2000" w:type="dxa"/>
          </w:tcPr>
          <w:p w:rsidR="00427BA9" w:rsidRDefault="00CE2045" w14:paraId="00100256" w14:textId="00100257">
            <w:pPr>
              <w:pStyle w:val="TableText"/>
              <w:jc w:val="right"/>
            </w:pPr>
            <w:r>
              <w:rPr>
                <w:b/>
              </w:rPr>
              <w:t>$151.84</w:t>
            </w:r>
          </w:p>
        </w:tc>
      </w:tr>
      <w:tr w:rsidR="00427BA9">
        <w:tc>
          <w:tcPr>
            <w:tcW w:w="4600" w:type="dxa"/>
          </w:tcPr>
          <w:p w:rsidR="00427BA9" w:rsidRDefault="00427BA9" w14:paraId="00100258" w14:textId="00100259">
            <w:pPr>
              <w:pStyle w:val="TableText"/>
            </w:pPr>
          </w:p>
        </w:tc>
        <w:tc>
          <w:tcPr>
            <w:tcW w:w="2760" w:type="dxa"/>
          </w:tcPr>
          <w:p w:rsidR="00427BA9" w:rsidRDefault="00CE2045" w14:paraId="0010025A" w14:textId="0010025B">
            <w:pPr>
              <w:pStyle w:val="TableText"/>
            </w:pPr>
            <w:r>
              <w:t>ramp to 4.5%</w:t>
            </w:r>
          </w:p>
        </w:tc>
        <w:tc>
          <w:tcPr>
            <w:tcW w:w="2000" w:type="dxa"/>
          </w:tcPr>
          <w:p w:rsidR="00427BA9" w:rsidRDefault="00CE2045" w14:paraId="0010025C" w14:textId="0010025D">
            <w:pPr>
              <w:pStyle w:val="TableText"/>
              <w:jc w:val="right"/>
            </w:pPr>
            <w:r>
              <w:t>$139.20</w:t>
            </w:r>
          </w:p>
        </w:tc>
      </w:tr>
      <w:tr w:rsidR="00427BA9">
        <w:tc>
          <w:tcPr>
            <w:tcW w:w="4600" w:type="dxa"/>
          </w:tcPr>
          <w:p w:rsidR="00427BA9" w:rsidRDefault="00CE2045" w14:paraId="0010025E" w14:textId="0010025F">
            <w:pPr>
              <w:pStyle w:val="TableText"/>
            </w:pPr>
            <w:r>
              <w:t>Beta</w:t>
            </w:r>
          </w:p>
        </w:tc>
        <w:tc>
          <w:tcPr>
            <w:tcW w:w="2760" w:type="dxa"/>
          </w:tcPr>
          <w:p w:rsidR="00427BA9" w:rsidRDefault="00CE2045" w14:paraId="00100260" w14:textId="00100261">
            <w:pPr>
              <w:pStyle w:val="TableText"/>
            </w:pPr>
            <w:r>
              <w:t>0.68 (trailing, post-crash)</w:t>
            </w:r>
          </w:p>
        </w:tc>
        <w:tc>
          <w:tcPr>
            <w:tcW w:w="2000" w:type="dxa"/>
          </w:tcPr>
          <w:p w:rsidR="00427BA9" w:rsidRDefault="00CE2045" w14:paraId="00100262" w14:textId="00100263">
            <w:pPr>
              <w:pStyle w:val="TableText"/>
              <w:jc w:val="right"/>
            </w:pPr>
            <w:r>
              <w:t>$179.42</w:t>
            </w:r>
          </w:p>
        </w:tc>
      </w:tr>
      <w:tr w:rsidR="00427BA9">
        <w:tc>
          <w:tcPr>
            <w:tcW w:w="4600" w:type="dxa"/>
          </w:tcPr>
          <w:p w:rsidR="00427BA9" w:rsidRDefault="00427BA9" w14:paraId="00100264" w14:textId="00100265">
            <w:pPr>
              <w:pStyle w:val="TableText"/>
            </w:pPr>
          </w:p>
        </w:tc>
        <w:tc>
          <w:tcPr>
            <w:tcW w:w="2760" w:type="dxa"/>
          </w:tcPr>
          <w:p w:rsidR="00427BA9" w:rsidRDefault="00CE2045" w14:paraId="00100266" w14:textId="00100267">
            <w:pPr>
              <w:pStyle w:val="TableText"/>
            </w:pPr>
            <w:r>
              <w:rPr>
                <w:b/>
              </w:rPr>
              <w:t>0.85 (base)</w:t>
            </w:r>
          </w:p>
        </w:tc>
        <w:tc>
          <w:tcPr>
            <w:tcW w:w="2000" w:type="dxa"/>
          </w:tcPr>
          <w:p w:rsidR="00427BA9" w:rsidRDefault="00CE2045" w14:paraId="00100268" w14:textId="00100269">
            <w:pPr>
              <w:pStyle w:val="TableText"/>
              <w:jc w:val="right"/>
            </w:pPr>
            <w:r>
              <w:rPr>
                <w:b/>
              </w:rPr>
              <w:t>$151.84</w:t>
            </w:r>
          </w:p>
        </w:tc>
      </w:tr>
      <w:tr w:rsidR="00427BA9">
        <w:tc>
          <w:tcPr>
            <w:tcW w:w="4600" w:type="dxa"/>
          </w:tcPr>
          <w:p w:rsidR="00427BA9" w:rsidRDefault="00427BA9" w14:paraId="0010026A" w14:textId="0010026B">
            <w:pPr>
              <w:pStyle w:val="TableText"/>
            </w:pPr>
          </w:p>
        </w:tc>
        <w:tc>
          <w:tcPr>
            <w:tcW w:w="2760" w:type="dxa"/>
          </w:tcPr>
          <w:p w:rsidR="00427BA9" w:rsidRDefault="00CE2045" w14:paraId="0010026C" w14:textId="0010026D">
            <w:pPr>
              <w:pStyle w:val="TableText"/>
            </w:pPr>
            <w:r>
              <w:t>1.00</w:t>
            </w:r>
          </w:p>
        </w:tc>
        <w:tc>
          <w:tcPr>
            <w:tcW w:w="2000" w:type="dxa"/>
          </w:tcPr>
          <w:p w:rsidR="00427BA9" w:rsidRDefault="00CE2045" w14:paraId="0010026E" w14:textId="0010026F">
            <w:pPr>
              <w:pStyle w:val="TableText"/>
              <w:jc w:val="right"/>
            </w:pPr>
            <w:r>
              <w:t>$132.34</w:t>
            </w:r>
          </w:p>
        </w:tc>
      </w:tr>
    </w:tbl>
    <w:p w:rsidR="00427BA9" w:rsidRDefault="00CE2045" w14:paraId="00100270" w14:textId="00100271">
      <w:pPr>
        <w:spacing w:before="120"/>
        <w:ind w:firstLine="360"/>
      </w:pPr>
      <w:r>
        <w:t>Disclosure runs: supply-shock correlation regime (rf·g = −0.15) P50 $151.89 with wider tails ($81.24–$263.54); no debt tax shield (τ = 0) P50 $140.72.</w:t>
      </w:r>
    </w:p>
    <w:p w:rsidR="00427BA9" w:rsidRDefault="00CE2045" w14:paraId="00100272" w14:textId="00100273">
      <w:pPr>
        <w:ind w:firstLine="360"/>
      </w:pPr>
      <w:r>
        <w:rPr>
          <w:b/>
        </w:rPr>
        <w:t>Terminal-value sanity check</w:t>
      </w:r>
      <w:r>
        <w:t xml:space="preserve"> (engine-verified, at means): terminal reinvestment = f × ma_ratio = 3.55% of revenue against a 13.55% terminal FCFF margin, a 20.8% reinvestment rate (of pre-reinvestment cash earnings, 17.10% of revenue); sustaining tg = 2.25% on that reinvestment implies an incremental ROIC of 10.8% — above the 7.06% WACC and plausible rather than heroic, so the terminal value no longer carries growth the model isn’t paying for.</w:t>
      </w:r>
    </w:p>
    <w:p w:rsidR="00427BA9" w:rsidRDefault="00CE2045" w14:paraId="00100274" w14:textId="00100275">
      <w:pPr>
        <w:pStyle w:val="Heading1"/>
      </w:pPr>
      <w:bookmarkStart w:name="_Toc235121489" w:id="8"/>
      <w:r>
        <w:t>5. Reading the price, and July 22</w:t>
      </w:r>
      <w:bookmarkEnd w:id="8"/>
    </w:p>
    <w:p w:rsidR="00427BA9" w:rsidRDefault="00CE2045" w14:paraId="00100276" w14:textId="00100277">
      <w:pPr>
        <w:ind w:firstLine="360"/>
      </w:pPr>
      <w:r>
        <w:rPr>
          <w:b/>
        </w:rPr>
        <w:t>The price sits above every published median.</w:t>
      </w:r>
      <w:r>
        <w:t xml:space="preserve"> At the base f = 0.50 the market pays $60 (40%) over the model’s median; at f = 0 — conceding that IBM’s entire acquisition program is optional — the gap is still $15. The cheapest published route toward $212 is the discount rate: at trailing β 0.68 the WACC build lands at </w:t>
      </w:r>
      <w:r>
        <w:lastRenderedPageBreak/>
        <w:t xml:space="preserve">≈6.5% and the median reaches $179.42, still $33 short. Stacked generosity (f = 0 and trailing beta) was not run and is not claimed; within the published grid, $212 requires a sub-6.5% discount rate or the bull path. </w:t>
      </w:r>
      <w:r>
        <w:rPr>
          <w:b/>
        </w:rPr>
        <w:t>Assumption.</w:t>
      </w:r>
      <w:r>
        <w:t xml:space="preserve"> To be explicit about boundaries: f = 0.50 and β = 0.85 are judgments, and both loci are published precisely because reasonable readers can sit elsewhere on them.</w:t>
      </w:r>
    </w:p>
    <w:p w:rsidR="00427BA9" w:rsidRDefault="00CE2045" w14:paraId="00100278" w14:textId="00100279">
      <w:pPr>
        <w:ind w:firstLine="360"/>
      </w:pPr>
      <w:r>
        <w:rPr>
          <w:b/>
        </w:rPr>
        <w:t>Our reading of the options market: it is pricing the event, not the verdict.</w:t>
      </w:r>
      <w:r>
        <w:t xml:space="preserve"> As of the 2026-07-16 snapshot (README v3): the Jul-24 expiry implies a </w:t>
      </w:r>
      <w:r>
        <w:rPr>
          <w:b/>
        </w:rPr>
        <w:t>7.6% earnings move</w:t>
      </w:r>
      <w:r>
        <w:t xml:space="preserve"> (ATM IV 60.4% versus ~48% on adjacent expiries), skew is mildly call-bid, and put/call open interest is 0.69 — positioning leans toward recovery.</w:t>
      </w:r>
    </w:p>
    <w:p w:rsidR="00427BA9" w:rsidRDefault="00CE2045" w14:paraId="0010027A" w14:textId="0010027B">
      <w:pPr>
        <w:ind w:firstLine="360"/>
      </w:pPr>
      <w:r>
        <w:rPr>
          <w:b/>
        </w:rPr>
        <w:t>July 22 watch list (falsifiable, with the numbers):</w:t>
      </w:r>
    </w:p>
    <w:p w:rsidR="00427BA9" w:rsidRDefault="00CE2045" w14:paraId="0010027C" w14:textId="0010027D">
      <w:pPr>
        <w:numPr>
          <w:ilvl w:val="0"/>
          <w:numId w:val="1"/>
        </w:numPr>
        <w:spacing w:after="60"/>
      </w:pPr>
      <w:r>
        <w:rPr>
          <w:b/>
        </w:rPr>
        <w:t>Did the slipped deals close?</w:t>
      </w:r>
      <w:r>
        <w:t xml:space="preserve"> Management attributed the majority of the Q2 shortfall to slipped large deals [1]. Closure is the bull gate; failure to close converts “timing” into demand loss.</w:t>
      </w:r>
    </w:p>
    <w:p w:rsidR="00427BA9" w:rsidRDefault="00CE2045" w14:paraId="0010027E" w14:textId="0010027F">
      <w:pPr>
        <w:numPr>
          <w:ilvl w:val="0"/>
          <w:numId w:val="1"/>
        </w:numPr>
        <w:spacing w:after="60"/>
      </w:pPr>
      <w:r>
        <w:rPr>
          <w:b/>
        </w:rPr>
        <w:t>FY2026 FCF guide versus ~$15.7B.</w:t>
      </w:r>
      <w:r>
        <w:t xml:space="preserve"> IBM reported FY2025 FCF of $14.7B (its definition) and guided FY2026 up “about $1B” pre-warning [8]. A guide materially below ~$15.7B quantifies the damage in management’s own currency.</w:t>
      </w:r>
    </w:p>
    <w:p w:rsidR="00427BA9" w:rsidRDefault="00CE2045" w14:paraId="00100280" w14:textId="00100281">
      <w:pPr>
        <w:numPr>
          <w:ilvl w:val="0"/>
          <w:numId w:val="1"/>
        </w:numPr>
        <w:spacing w:after="60"/>
      </w:pPr>
      <w:r>
        <w:rPr>
          <w:b/>
        </w:rPr>
        <w:t>Margin at the FY2025 endpoint.</w:t>
      </w:r>
      <w:r>
        <w:t xml:space="preserve"> The v4 base already concedes the adversarial review’s margin-trend finding (F19) — core margin is set at the FY2025 endpoint (19.4% pre-SBC, pre-M&amp;A basis), not the flattering 5-year mean. July 22 tests whether even that holds: each further point of core margin is worth ≈ $16/share (attribution above).</w:t>
      </w:r>
    </w:p>
    <w:p w:rsidR="007661C2" w:rsidRDefault="002F0AE0" w14:paraId="00100282" w14:textId="00100283">
      <w:pPr>
        <w:numPr>
          <w:ilvl w:val="0"/>
          <w:numId w:val="1"/>
        </w:numPr>
        <w:spacing w:after="60"/>
      </w:pPr>
      <w:r>
        <w:rPr>
          <w:b/>
        </w:rPr>
        <w:t>Remaining performance obligation (RPO) in the Q2 10-Q.</w:t>
      </w:r>
      <w:r>
        <w:t xml:space="preserve"> IBM’s contracted backlog was $71.0B at FY2025 — 105.1% of revenue, up from 97.5% in FY2022, with ~67% recognized within two years [10]. Watch whether coverage holds at or above 105% and whether the year-over-year change stays positive — read net of acquisition effects, since the FY2025 +12.7% print consolidates HashiCorp’s acquired obligations.</w:t>
      </w:r>
    </w:p>
    <w:p w:rsidR="00427BA9" w:rsidRDefault="00CE2045" w14:paraId="00100284" w14:textId="00100285">
      <w:pPr>
        <w:numPr>
          <w:ilvl w:val="0"/>
          <w:numId w:val="1"/>
        </w:numPr>
        <w:spacing w:after="60"/>
      </w:pPr>
      <w:r>
        <w:rPr>
          <w:b/>
        </w:rPr>
        <w:t>Segment actuals versus the year-1 pins.</w:t>
      </w:r>
      <w:r>
        <w:t xml:space="preserve"> Software +5%, Consulting flat, Infrastructure ~$14.6B implied for the year. Software materially below +5% undercuts the g_software mean from above; Infrastructure above the pin suggests the cycle haircut was too harsh.</w:t>
      </w:r>
    </w:p>
    <w:p w:rsidR="00427BA9" w:rsidRDefault="00CE2045" w14:paraId="00100286" w14:textId="00100287">
      <w:pPr>
        <w:pStyle w:val="Heading1"/>
      </w:pPr>
      <w:bookmarkStart w:name="_Toc235121490" w:id="9"/>
      <w:r>
        <w:t>6. Data and limitations</w:t>
      </w:r>
      <w:bookmarkEnd w:id="9"/>
    </w:p>
    <w:p w:rsidR="00427BA9" w:rsidRDefault="00CE2045" w14:paraId="00100288" w14:textId="00100289">
      <w:pPr>
        <w:ind w:firstLine="360"/>
      </w:pPr>
      <w:r>
        <w:t>Honest limits, all disclosed in the underlying artifacts:</w:t>
      </w:r>
    </w:p>
    <w:p w:rsidR="00427BA9" w:rsidRDefault="00CE2045" w14:paraId="0010028A" w14:textId="0010028B">
      <w:pPr>
        <w:numPr>
          <w:ilvl w:val="0"/>
          <w:numId w:val="2"/>
        </w:numPr>
        <w:spacing w:after="60"/>
      </w:pPr>
      <w:r>
        <w:rPr>
          <w:b/>
        </w:rPr>
        <w:t>Model debt (ticketed model improvements).</w:t>
      </w:r>
      <w:r>
        <w:t xml:space="preserve"> T-DCF-1: growth is one draw per path — AR(1) mean reversion is the largest known distortion (a reviewer experiment with φ = 0.6 cut the v3 median ~10% and P90 ~16%). T-DCF-3: terminal growth should derive per path from faded segment draws; today it is correlationally, not structurally, anchored. Mixture/lognormal </w:t>
      </w:r>
      <w:r>
        <w:lastRenderedPageBreak/>
        <w:t>marginals (consulting left skew, M&amp;A right tail) and Harris–Pringle re-levered beta with target weights are ticketed. FX is unmodeled; the WACC term structure is flat.</w:t>
      </w:r>
    </w:p>
    <w:p w:rsidR="00427BA9" w:rsidRDefault="00CE2045" w14:paraId="0010028C" w14:textId="0010028D">
      <w:pPr>
        <w:numPr>
          <w:ilvl w:val="0"/>
          <w:numId w:val="2"/>
        </w:numPr>
        <w:spacing w:after="60"/>
      </w:pPr>
      <w:r>
        <w:rPr>
          <w:b/>
        </w:rPr>
        <w:t>Pipeline defects (disclosed).</w:t>
      </w:r>
      <w:r>
        <w:t xml:space="preserve"> The data store contains phantom “10-K” rows (2012–2019 stubs) that carry no FCF and don’t enter the model. FY2019–20 recast mismatch makes margin windows longer than five years unusable. Dividends, post-2019 buybacks, and the prices array are null in the pipeline: the price ($212.40), pre-crash close ($290.23), dividend (~$6.3B), analyst targets, and guidance figures are hand-entered from the cited sources, not pipeline outputs. Importer fixes are ticketed model improvements (T-IMP-1).</w:t>
      </w:r>
    </w:p>
    <w:p w:rsidR="00427BA9" w:rsidRDefault="00CE2045" w14:paraId="0010028E" w14:textId="0010028F">
      <w:pPr>
        <w:numPr>
          <w:ilvl w:val="0"/>
          <w:numId w:val="2"/>
        </w:numPr>
        <w:spacing w:after="60"/>
      </w:pPr>
      <w:r>
        <w:rPr>
          <w:b/>
        </w:rPr>
        <w:t>Structural.</w:t>
      </w:r>
      <w:r>
        <w:t xml:space="preserve"> Segment history is hand-entered from the 8-Ks (sourced). The headline is conditional on f = 0.50 by construction; there is no model-internal way to estimate f — it is the analysis’s central judgment, which is why the locus is published.</w:t>
      </w:r>
    </w:p>
    <w:p w:rsidR="007661C2" w:rsidRDefault="002F0AE0" w14:paraId="00100290" w14:textId="00100291">
      <w:pPr>
        <w:numPr>
          <w:ilvl w:val="0"/>
          <w:numId w:val="2"/>
        </w:numPr>
        <w:spacing w:after="60"/>
      </w:pPr>
      <w:r>
        <w:rPr>
          <w:b/>
        </w:rPr>
        <w:t>Unused-source audit (RPO).</w:t>
      </w:r>
      <w:r>
        <w:t xml:space="preserve"> The $71.0B RPO was flagged by the source audit as unused by the model; a targeted review concluded it corroborates but does not move the growth priors (two-year contracted cover cannot rebut a ten-year cannibalization thesis, and the backlog growth partly consolidates acquisitions). It is consumed as documented evidence in the assumption register and expires at the Q2 10-Q [10].</w:t>
      </w:r>
    </w:p>
    <w:p w:rsidR="00427BA9" w:rsidRDefault="00CE2045" w14:paraId="00100292" w14:textId="00100293">
      <w:pPr>
        <w:ind w:firstLine="360"/>
      </w:pPr>
      <w:r>
        <w:rPr>
          <w:b/>
        </w:rPr>
        <w:t>Reproduce:</w:t>
      </w:r>
      <w:r>
        <w:t xml:space="preserve"> </w:t>
      </w:r>
      <w:r>
        <w:rPr>
          <w:rFonts w:ascii="Consolas" w:hAnsi="Consolas" w:eastAsia="Consolas"/>
          <w:sz w:val="19"/>
        </w:rPr>
        <w:t>python -m scripts.analyze IBM</w:t>
      </w:r>
      <w:r>
        <w:t xml:space="preserve"> (financials, prices, option chain) · </w:t>
      </w:r>
      <w:r>
        <w:rPr>
          <w:rFonts w:ascii="Consolas" w:hAnsi="Consolas" w:eastAsia="Consolas"/>
          <w:sz w:val="19"/>
        </w:rPr>
        <w:t>python -m analysis.IBM.dcf_drivers_run</w:t>
      </w:r>
      <w:r>
        <w:t xml:space="preserve"> (v4 headline, loci, attribution, disclosure runs) · </w:t>
      </w:r>
      <w:r>
        <w:rPr>
          <w:rFonts w:ascii="Consolas" w:hAnsi="Consolas" w:eastAsia="Consolas"/>
          <w:sz w:val="19"/>
        </w:rPr>
        <w:t>python -m analysis.IBM.dcf_scenarios</w:t>
      </w:r>
      <w:r>
        <w:t xml:space="preserve"> (v3 scenarios, retained for the review trail).</w:t>
      </w:r>
    </w:p>
    <w:p w:rsidR="00427BA9" w:rsidRDefault="00CE2045" w14:paraId="00100294" w14:textId="00100295">
      <w:pPr>
        <w:pStyle w:val="Heading1"/>
      </w:pPr>
      <w:bookmarkStart w:name="_Toc235121491" w:id="10"/>
      <w:r>
        <w:t>Appendix A — Correlation matrix (8 stochastic drivers)</w:t>
      </w:r>
      <w:bookmarkEnd w:id="10"/>
    </w:p>
    <w:p w:rsidR="00427BA9" w:rsidRDefault="00CE2045" w14:paraId="00100296" w14:textId="00100297">
      <w:pPr>
        <w:spacing w:after="120"/>
        <w:ind w:firstLine="360"/>
      </w:pPr>
      <w:r>
        <w:t>Entries are Gaussian-copula rank correlations; every entry including the zeros is an assumption (rationale rows in DRIVERS.md). PSD verified, minimum eigenvalue 0.419. Abbreviations: SW = g_software, CN = g_consulting, IN = g_infrastructure, CM = core_margin, MA = ma_ratio, TG = terminal_growth.</w:t>
      </w:r>
    </w:p>
    <w:tbl>
      <w:tblPr>
        <w:tblW w:w="5000" w:type="pct"/>
        <w:tblBorders>
          <w:top w:val="single" w:color="1F3864" w:sz="12" w:space="0"/>
          <w:left w:val="none" w:color="auto" w:sz="4" w:space="0"/>
          <w:bottom w:val="single" w:color="1F3864" w:sz="12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63"/>
        <w:gridCol w:w="906"/>
        <w:gridCol w:w="906"/>
        <w:gridCol w:w="906"/>
        <w:gridCol w:w="905"/>
        <w:gridCol w:w="905"/>
        <w:gridCol w:w="905"/>
        <w:gridCol w:w="905"/>
        <w:gridCol w:w="905"/>
      </w:tblGrid>
      <w:tr w:rsidR="00427BA9">
        <w:trPr>
          <w:tblHeader/>
        </w:trPr>
        <w:tc>
          <w:tcPr>
            <w:tcW w:w="1200" w:type="dxa"/>
            <w:tcBorders>
              <w:bottom w:val="single" w:color="1F3864" w:sz="6" w:space="0"/>
            </w:tcBorders>
          </w:tcPr>
          <w:p w:rsidR="00427BA9" w:rsidRDefault="00427BA9" w14:paraId="00100298" w14:textId="00100299">
            <w:pPr>
              <w:pStyle w:val="TableText"/>
              <w:rPr>
                <w:b/>
              </w:rPr>
            </w:pPr>
          </w:p>
        </w:tc>
        <w:tc>
          <w:tcPr>
            <w:tcW w:w="1020" w:type="dxa"/>
            <w:tcBorders>
              <w:bottom w:val="single" w:color="1F3864" w:sz="6" w:space="0"/>
            </w:tcBorders>
          </w:tcPr>
          <w:p w:rsidR="00427BA9" w:rsidRDefault="00CE2045" w14:paraId="0010029A" w14:textId="0010029B">
            <w:pPr>
              <w:pStyle w:val="TableText"/>
              <w:jc w:val="center"/>
            </w:pPr>
            <w:r>
              <w:rPr>
                <w:b/>
              </w:rPr>
              <w:t>SW</w:t>
            </w:r>
          </w:p>
        </w:tc>
        <w:tc>
          <w:tcPr>
            <w:tcW w:w="1020" w:type="dxa"/>
            <w:tcBorders>
              <w:bottom w:val="single" w:color="1F3864" w:sz="6" w:space="0"/>
            </w:tcBorders>
          </w:tcPr>
          <w:p w:rsidR="00427BA9" w:rsidRDefault="00CE2045" w14:paraId="0010029C" w14:textId="0010029D">
            <w:pPr>
              <w:pStyle w:val="TableText"/>
              <w:jc w:val="center"/>
            </w:pPr>
            <w:r>
              <w:rPr>
                <w:b/>
              </w:rPr>
              <w:t>CN</w:t>
            </w:r>
          </w:p>
        </w:tc>
        <w:tc>
          <w:tcPr>
            <w:tcW w:w="1020" w:type="dxa"/>
            <w:tcBorders>
              <w:bottom w:val="single" w:color="1F3864" w:sz="6" w:space="0"/>
            </w:tcBorders>
          </w:tcPr>
          <w:p w:rsidR="00427BA9" w:rsidRDefault="00CE2045" w14:paraId="0010029E" w14:textId="0010029F">
            <w:pPr>
              <w:pStyle w:val="TableText"/>
              <w:jc w:val="center"/>
            </w:pPr>
            <w:r>
              <w:rPr>
                <w:b/>
              </w:rPr>
              <w:t>IN</w:t>
            </w:r>
          </w:p>
        </w:tc>
        <w:tc>
          <w:tcPr>
            <w:tcW w:w="1020" w:type="dxa"/>
            <w:tcBorders>
              <w:bottom w:val="single" w:color="1F3864" w:sz="6" w:space="0"/>
            </w:tcBorders>
          </w:tcPr>
          <w:p w:rsidR="00427BA9" w:rsidRDefault="00CE2045" w14:paraId="001002A0" w14:textId="001002A1">
            <w:pPr>
              <w:pStyle w:val="TableText"/>
              <w:jc w:val="center"/>
            </w:pPr>
            <w:r>
              <w:rPr>
                <w:b/>
              </w:rPr>
              <w:t>CM</w:t>
            </w:r>
          </w:p>
        </w:tc>
        <w:tc>
          <w:tcPr>
            <w:tcW w:w="1020" w:type="dxa"/>
            <w:tcBorders>
              <w:bottom w:val="single" w:color="1F3864" w:sz="6" w:space="0"/>
            </w:tcBorders>
          </w:tcPr>
          <w:p w:rsidR="00427BA9" w:rsidRDefault="00CE2045" w14:paraId="001002A2" w14:textId="001002A3">
            <w:pPr>
              <w:pStyle w:val="TableText"/>
              <w:jc w:val="center"/>
            </w:pPr>
            <w:r>
              <w:rPr>
                <w:b/>
              </w:rPr>
              <w:t>MA</w:t>
            </w:r>
          </w:p>
        </w:tc>
        <w:tc>
          <w:tcPr>
            <w:tcW w:w="1020" w:type="dxa"/>
            <w:tcBorders>
              <w:bottom w:val="single" w:color="1F3864" w:sz="6" w:space="0"/>
            </w:tcBorders>
          </w:tcPr>
          <w:p w:rsidR="00427BA9" w:rsidRDefault="00CE2045" w14:paraId="001002A4" w14:textId="001002A5">
            <w:pPr>
              <w:pStyle w:val="TableText"/>
              <w:jc w:val="center"/>
            </w:pPr>
            <w:r>
              <w:rPr>
                <w:b/>
              </w:rPr>
              <w:t>rf</w:t>
            </w:r>
          </w:p>
        </w:tc>
        <w:tc>
          <w:tcPr>
            <w:tcW w:w="1020" w:type="dxa"/>
            <w:tcBorders>
              <w:bottom w:val="single" w:color="1F3864" w:sz="6" w:space="0"/>
            </w:tcBorders>
          </w:tcPr>
          <w:p w:rsidR="00427BA9" w:rsidRDefault="00CE2045" w14:paraId="001002A6" w14:textId="001002A7">
            <w:pPr>
              <w:pStyle w:val="TableText"/>
              <w:jc w:val="center"/>
            </w:pPr>
            <w:r>
              <w:rPr>
                <w:b/>
              </w:rPr>
              <w:t>erp</w:t>
            </w:r>
          </w:p>
        </w:tc>
        <w:tc>
          <w:tcPr>
            <w:tcW w:w="1020" w:type="dxa"/>
            <w:tcBorders>
              <w:bottom w:val="single" w:color="1F3864" w:sz="6" w:space="0"/>
            </w:tcBorders>
          </w:tcPr>
          <w:p w:rsidR="00427BA9" w:rsidRDefault="00CE2045" w14:paraId="001002A8" w14:textId="001002A9">
            <w:pPr>
              <w:pStyle w:val="TableText"/>
              <w:jc w:val="center"/>
            </w:pPr>
            <w:r>
              <w:rPr>
                <w:b/>
              </w:rPr>
              <w:t>TG</w:t>
            </w:r>
          </w:p>
        </w:tc>
      </w:tr>
      <w:tr w:rsidR="00427BA9">
        <w:tc>
          <w:tcPr>
            <w:tcW w:w="1200" w:type="dxa"/>
          </w:tcPr>
          <w:p w:rsidR="00427BA9" w:rsidRDefault="00CE2045" w14:paraId="001002AA" w14:textId="001002AB">
            <w:pPr>
              <w:pStyle w:val="TableText"/>
            </w:pPr>
            <w:r>
              <w:rPr>
                <w:b/>
              </w:rPr>
              <w:t>SW</w:t>
            </w:r>
          </w:p>
        </w:tc>
        <w:tc>
          <w:tcPr>
            <w:tcW w:w="1020" w:type="dxa"/>
          </w:tcPr>
          <w:p w:rsidR="00427BA9" w:rsidRDefault="00CE2045" w14:paraId="001002AC" w14:textId="001002AD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427BA9" w:rsidRDefault="00CE2045" w14:paraId="001002AE" w14:textId="001002AF">
            <w:pPr>
              <w:pStyle w:val="TableText"/>
              <w:jc w:val="center"/>
            </w:pPr>
            <w:r>
              <w:t>.40</w:t>
            </w:r>
          </w:p>
        </w:tc>
        <w:tc>
          <w:tcPr>
            <w:tcW w:w="1020" w:type="dxa"/>
          </w:tcPr>
          <w:p w:rsidR="00427BA9" w:rsidRDefault="00CE2045" w14:paraId="001002B0" w14:textId="001002B1">
            <w:pPr>
              <w:pStyle w:val="TableText"/>
              <w:jc w:val="center"/>
            </w:pPr>
            <w:r>
              <w:t>.35</w:t>
            </w:r>
          </w:p>
        </w:tc>
        <w:tc>
          <w:tcPr>
            <w:tcW w:w="1020" w:type="dxa"/>
          </w:tcPr>
          <w:p w:rsidR="00427BA9" w:rsidRDefault="00CE2045" w14:paraId="001002B2" w14:textId="001002B3">
            <w:pPr>
              <w:pStyle w:val="TableText"/>
              <w:jc w:val="center"/>
            </w:pPr>
            <w:r>
              <w:t>.30</w:t>
            </w:r>
          </w:p>
        </w:tc>
        <w:tc>
          <w:tcPr>
            <w:tcW w:w="1020" w:type="dxa"/>
          </w:tcPr>
          <w:p w:rsidR="00427BA9" w:rsidRDefault="00CE2045" w14:paraId="001002B4" w14:textId="001002B5">
            <w:pPr>
              <w:pStyle w:val="TableText"/>
              <w:jc w:val="center"/>
            </w:pPr>
            <w:r>
              <w:t>.30</w:t>
            </w:r>
          </w:p>
        </w:tc>
        <w:tc>
          <w:tcPr>
            <w:tcW w:w="1020" w:type="dxa"/>
          </w:tcPr>
          <w:p w:rsidR="00427BA9" w:rsidRDefault="00CE2045" w14:paraId="001002B6" w14:textId="001002B7">
            <w:pPr>
              <w:pStyle w:val="TableText"/>
              <w:jc w:val="center"/>
            </w:pPr>
            <w:r>
              <w:t>.15</w:t>
            </w:r>
          </w:p>
        </w:tc>
        <w:tc>
          <w:tcPr>
            <w:tcW w:w="1020" w:type="dxa"/>
          </w:tcPr>
          <w:p w:rsidR="00427BA9" w:rsidRDefault="00CE2045" w14:paraId="001002B8" w14:textId="001002B9">
            <w:pPr>
              <w:pStyle w:val="TableText"/>
              <w:jc w:val="center"/>
            </w:pPr>
            <w:r>
              <w:t>−.25</w:t>
            </w:r>
          </w:p>
        </w:tc>
        <w:tc>
          <w:tcPr>
            <w:tcW w:w="1020" w:type="dxa"/>
          </w:tcPr>
          <w:p w:rsidR="00427BA9" w:rsidRDefault="00CE2045" w14:paraId="001002BA" w14:textId="001002BB">
            <w:pPr>
              <w:pStyle w:val="TableText"/>
              <w:jc w:val="center"/>
            </w:pPr>
            <w:r>
              <w:t>.40</w:t>
            </w:r>
          </w:p>
        </w:tc>
      </w:tr>
      <w:tr w:rsidR="00427BA9">
        <w:tc>
          <w:tcPr>
            <w:tcW w:w="1200" w:type="dxa"/>
          </w:tcPr>
          <w:p w:rsidR="00427BA9" w:rsidRDefault="00CE2045" w14:paraId="001002BC" w14:textId="001002BD">
            <w:pPr>
              <w:pStyle w:val="TableText"/>
            </w:pPr>
            <w:r>
              <w:rPr>
                <w:b/>
              </w:rPr>
              <w:t>CN</w:t>
            </w:r>
          </w:p>
        </w:tc>
        <w:tc>
          <w:tcPr>
            <w:tcW w:w="1020" w:type="dxa"/>
          </w:tcPr>
          <w:p w:rsidR="00427BA9" w:rsidRDefault="00CE2045" w14:paraId="001002BE" w14:textId="001002BF">
            <w:pPr>
              <w:pStyle w:val="TableText"/>
              <w:jc w:val="center"/>
            </w:pPr>
            <w:r>
              <w:t>.40</w:t>
            </w:r>
          </w:p>
        </w:tc>
        <w:tc>
          <w:tcPr>
            <w:tcW w:w="1020" w:type="dxa"/>
          </w:tcPr>
          <w:p w:rsidR="00427BA9" w:rsidRDefault="00CE2045" w14:paraId="001002C0" w14:textId="001002C1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427BA9" w:rsidRDefault="00CE2045" w14:paraId="001002C2" w14:textId="001002C3">
            <w:pPr>
              <w:pStyle w:val="TableText"/>
              <w:jc w:val="center"/>
            </w:pPr>
            <w:r>
              <w:t>.20</w:t>
            </w:r>
          </w:p>
        </w:tc>
        <w:tc>
          <w:tcPr>
            <w:tcW w:w="1020" w:type="dxa"/>
          </w:tcPr>
          <w:p w:rsidR="00427BA9" w:rsidRDefault="00CE2045" w14:paraId="001002C4" w14:textId="001002C5">
            <w:pPr>
              <w:pStyle w:val="TableText"/>
              <w:jc w:val="center"/>
            </w:pPr>
            <w:r>
              <w:t>.10</w:t>
            </w:r>
          </w:p>
        </w:tc>
        <w:tc>
          <w:tcPr>
            <w:tcW w:w="1020" w:type="dxa"/>
          </w:tcPr>
          <w:p w:rsidR="00427BA9" w:rsidRDefault="00CE2045" w14:paraId="001002C6" w14:textId="001002C7">
            <w:pPr>
              <w:pStyle w:val="TableText"/>
              <w:jc w:val="center"/>
            </w:pPr>
            <w:r>
              <w:t>.10</w:t>
            </w:r>
          </w:p>
        </w:tc>
        <w:tc>
          <w:tcPr>
            <w:tcW w:w="1020" w:type="dxa"/>
          </w:tcPr>
          <w:p w:rsidR="00427BA9" w:rsidRDefault="00CE2045" w14:paraId="001002C8" w14:textId="001002C9">
            <w:pPr>
              <w:pStyle w:val="TableText"/>
              <w:jc w:val="center"/>
            </w:pPr>
            <w:r>
              <w:t>.15</w:t>
            </w:r>
          </w:p>
        </w:tc>
        <w:tc>
          <w:tcPr>
            <w:tcW w:w="1020" w:type="dxa"/>
          </w:tcPr>
          <w:p w:rsidR="00427BA9" w:rsidRDefault="00CE2045" w14:paraId="001002CA" w14:textId="001002CB">
            <w:pPr>
              <w:pStyle w:val="TableText"/>
              <w:jc w:val="center"/>
            </w:pPr>
            <w:r>
              <w:t>−.25</w:t>
            </w:r>
          </w:p>
        </w:tc>
        <w:tc>
          <w:tcPr>
            <w:tcW w:w="1020" w:type="dxa"/>
          </w:tcPr>
          <w:p w:rsidR="00427BA9" w:rsidRDefault="00CE2045" w14:paraId="001002CC" w14:textId="001002CD">
            <w:pPr>
              <w:pStyle w:val="TableText"/>
              <w:jc w:val="center"/>
            </w:pPr>
            <w:r>
              <w:t>.30</w:t>
            </w:r>
          </w:p>
        </w:tc>
      </w:tr>
      <w:tr w:rsidR="00427BA9">
        <w:tc>
          <w:tcPr>
            <w:tcW w:w="1200" w:type="dxa"/>
          </w:tcPr>
          <w:p w:rsidR="00427BA9" w:rsidRDefault="00CE2045" w14:paraId="001002CE" w14:textId="001002CF">
            <w:pPr>
              <w:pStyle w:val="TableText"/>
            </w:pPr>
            <w:r>
              <w:rPr>
                <w:b/>
              </w:rPr>
              <w:t>IN</w:t>
            </w:r>
          </w:p>
        </w:tc>
        <w:tc>
          <w:tcPr>
            <w:tcW w:w="1020" w:type="dxa"/>
          </w:tcPr>
          <w:p w:rsidR="00427BA9" w:rsidRDefault="00CE2045" w14:paraId="001002D0" w14:textId="001002D1">
            <w:pPr>
              <w:pStyle w:val="TableText"/>
              <w:jc w:val="center"/>
            </w:pPr>
            <w:r>
              <w:t>.35</w:t>
            </w:r>
          </w:p>
        </w:tc>
        <w:tc>
          <w:tcPr>
            <w:tcW w:w="1020" w:type="dxa"/>
          </w:tcPr>
          <w:p w:rsidR="00427BA9" w:rsidRDefault="00CE2045" w14:paraId="001002D2" w14:textId="001002D3">
            <w:pPr>
              <w:pStyle w:val="TableText"/>
              <w:jc w:val="center"/>
            </w:pPr>
            <w:r>
              <w:t>.20</w:t>
            </w:r>
          </w:p>
        </w:tc>
        <w:tc>
          <w:tcPr>
            <w:tcW w:w="1020" w:type="dxa"/>
          </w:tcPr>
          <w:p w:rsidR="00427BA9" w:rsidRDefault="00CE2045" w14:paraId="001002D4" w14:textId="001002D5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427BA9" w:rsidRDefault="00CE2045" w14:paraId="001002D6" w14:textId="001002D7">
            <w:pPr>
              <w:pStyle w:val="TableText"/>
              <w:jc w:val="center"/>
            </w:pPr>
            <w:r>
              <w:t>.15</w:t>
            </w:r>
          </w:p>
        </w:tc>
        <w:tc>
          <w:tcPr>
            <w:tcW w:w="1020" w:type="dxa"/>
          </w:tcPr>
          <w:p w:rsidR="00427BA9" w:rsidRDefault="00CE2045" w14:paraId="001002D8" w14:textId="001002D9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020" w:type="dxa"/>
          </w:tcPr>
          <w:p w:rsidR="00427BA9" w:rsidRDefault="00CE2045" w14:paraId="001002DA" w14:textId="001002DB">
            <w:pPr>
              <w:pStyle w:val="TableText"/>
              <w:jc w:val="center"/>
            </w:pPr>
            <w:r>
              <w:t>.10</w:t>
            </w:r>
          </w:p>
        </w:tc>
        <w:tc>
          <w:tcPr>
            <w:tcW w:w="1020" w:type="dxa"/>
          </w:tcPr>
          <w:p w:rsidR="00427BA9" w:rsidRDefault="00CE2045" w14:paraId="001002DC" w14:textId="001002DD">
            <w:pPr>
              <w:pStyle w:val="TableText"/>
              <w:jc w:val="center"/>
            </w:pPr>
            <w:r>
              <w:t>−.15</w:t>
            </w:r>
          </w:p>
        </w:tc>
        <w:tc>
          <w:tcPr>
            <w:tcW w:w="1020" w:type="dxa"/>
          </w:tcPr>
          <w:p w:rsidR="00427BA9" w:rsidRDefault="00CE2045" w14:paraId="001002DE" w14:textId="001002DF">
            <w:pPr>
              <w:pStyle w:val="TableText"/>
              <w:jc w:val="center"/>
            </w:pPr>
            <w:r>
              <w:t>.20</w:t>
            </w:r>
          </w:p>
        </w:tc>
      </w:tr>
      <w:tr w:rsidR="00427BA9">
        <w:tc>
          <w:tcPr>
            <w:tcW w:w="1200" w:type="dxa"/>
          </w:tcPr>
          <w:p w:rsidR="00427BA9" w:rsidRDefault="00CE2045" w14:paraId="001002E0" w14:textId="001002E1">
            <w:pPr>
              <w:pStyle w:val="TableText"/>
            </w:pPr>
            <w:r>
              <w:rPr>
                <w:b/>
              </w:rPr>
              <w:t>CM</w:t>
            </w:r>
          </w:p>
        </w:tc>
        <w:tc>
          <w:tcPr>
            <w:tcW w:w="1020" w:type="dxa"/>
          </w:tcPr>
          <w:p w:rsidR="00427BA9" w:rsidRDefault="00CE2045" w14:paraId="001002E2" w14:textId="001002E3">
            <w:pPr>
              <w:pStyle w:val="TableText"/>
              <w:jc w:val="center"/>
            </w:pPr>
            <w:r>
              <w:t>.30</w:t>
            </w:r>
          </w:p>
        </w:tc>
        <w:tc>
          <w:tcPr>
            <w:tcW w:w="1020" w:type="dxa"/>
          </w:tcPr>
          <w:p w:rsidR="00427BA9" w:rsidRDefault="00CE2045" w14:paraId="001002E4" w14:textId="001002E5">
            <w:pPr>
              <w:pStyle w:val="TableText"/>
              <w:jc w:val="center"/>
            </w:pPr>
            <w:r>
              <w:t>.10</w:t>
            </w:r>
          </w:p>
        </w:tc>
        <w:tc>
          <w:tcPr>
            <w:tcW w:w="1020" w:type="dxa"/>
          </w:tcPr>
          <w:p w:rsidR="00427BA9" w:rsidRDefault="00CE2045" w14:paraId="001002E6" w14:textId="001002E7">
            <w:pPr>
              <w:pStyle w:val="TableText"/>
              <w:jc w:val="center"/>
            </w:pPr>
            <w:r>
              <w:t>.15</w:t>
            </w:r>
          </w:p>
        </w:tc>
        <w:tc>
          <w:tcPr>
            <w:tcW w:w="1020" w:type="dxa"/>
          </w:tcPr>
          <w:p w:rsidR="00427BA9" w:rsidRDefault="00CE2045" w14:paraId="001002E8" w14:textId="001002E9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427BA9" w:rsidRDefault="00CE2045" w14:paraId="001002EA" w14:textId="001002EB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020" w:type="dxa"/>
          </w:tcPr>
          <w:p w:rsidR="00427BA9" w:rsidRDefault="00CE2045" w14:paraId="001002EC" w14:textId="001002ED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020" w:type="dxa"/>
          </w:tcPr>
          <w:p w:rsidR="00427BA9" w:rsidRDefault="00CE2045" w14:paraId="001002EE" w14:textId="001002EF">
            <w:pPr>
              <w:pStyle w:val="TableText"/>
              <w:jc w:val="center"/>
            </w:pPr>
            <w:r>
              <w:t>−.15</w:t>
            </w:r>
          </w:p>
        </w:tc>
        <w:tc>
          <w:tcPr>
            <w:tcW w:w="1020" w:type="dxa"/>
          </w:tcPr>
          <w:p w:rsidR="00427BA9" w:rsidRDefault="00CE2045" w14:paraId="001002F0" w14:textId="001002F1">
            <w:pPr>
              <w:pStyle w:val="TableText"/>
              <w:jc w:val="center"/>
            </w:pPr>
            <w:r>
              <w:t>.15</w:t>
            </w:r>
          </w:p>
        </w:tc>
      </w:tr>
      <w:tr w:rsidR="00427BA9">
        <w:tc>
          <w:tcPr>
            <w:tcW w:w="1200" w:type="dxa"/>
          </w:tcPr>
          <w:p w:rsidR="00427BA9" w:rsidRDefault="00CE2045" w14:paraId="001002F2" w14:textId="001002F3">
            <w:pPr>
              <w:pStyle w:val="TableText"/>
            </w:pPr>
            <w:r>
              <w:rPr>
                <w:b/>
              </w:rPr>
              <w:t>MA</w:t>
            </w:r>
          </w:p>
        </w:tc>
        <w:tc>
          <w:tcPr>
            <w:tcW w:w="1020" w:type="dxa"/>
          </w:tcPr>
          <w:p w:rsidR="00427BA9" w:rsidRDefault="00CE2045" w14:paraId="001002F4" w14:textId="001002F5">
            <w:pPr>
              <w:pStyle w:val="TableText"/>
              <w:jc w:val="center"/>
            </w:pPr>
            <w:r>
              <w:t>.30</w:t>
            </w:r>
          </w:p>
        </w:tc>
        <w:tc>
          <w:tcPr>
            <w:tcW w:w="1020" w:type="dxa"/>
          </w:tcPr>
          <w:p w:rsidR="00427BA9" w:rsidRDefault="00CE2045" w14:paraId="001002F6" w14:textId="001002F7">
            <w:pPr>
              <w:pStyle w:val="TableText"/>
              <w:jc w:val="center"/>
            </w:pPr>
            <w:r>
              <w:t>.10</w:t>
            </w:r>
          </w:p>
        </w:tc>
        <w:tc>
          <w:tcPr>
            <w:tcW w:w="1020" w:type="dxa"/>
          </w:tcPr>
          <w:p w:rsidR="00427BA9" w:rsidRDefault="00CE2045" w14:paraId="001002F8" w14:textId="001002F9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020" w:type="dxa"/>
          </w:tcPr>
          <w:p w:rsidR="00427BA9" w:rsidRDefault="00CE2045" w14:paraId="001002FA" w14:textId="001002FB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020" w:type="dxa"/>
          </w:tcPr>
          <w:p w:rsidR="00427BA9" w:rsidRDefault="00CE2045" w14:paraId="001002FC" w14:textId="001002FD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427BA9" w:rsidRDefault="00CE2045" w14:paraId="001002FE" w14:textId="001002FF">
            <w:pPr>
              <w:pStyle w:val="TableText"/>
              <w:jc w:val="center"/>
            </w:pPr>
            <w:r>
              <w:t>−.15</w:t>
            </w:r>
          </w:p>
        </w:tc>
        <w:tc>
          <w:tcPr>
            <w:tcW w:w="1020" w:type="dxa"/>
          </w:tcPr>
          <w:p w:rsidR="00427BA9" w:rsidRDefault="00CE2045" w14:paraId="00100300" w14:textId="00100301">
            <w:pPr>
              <w:pStyle w:val="TableText"/>
              <w:jc w:val="center"/>
            </w:pPr>
            <w:r>
              <w:t>−.10</w:t>
            </w:r>
          </w:p>
        </w:tc>
        <w:tc>
          <w:tcPr>
            <w:tcW w:w="1020" w:type="dxa"/>
          </w:tcPr>
          <w:p w:rsidR="00427BA9" w:rsidRDefault="00CE2045" w14:paraId="00100302" w14:textId="00100303">
            <w:pPr>
              <w:pStyle w:val="TableText"/>
              <w:jc w:val="center"/>
            </w:pPr>
            <w:r>
              <w:t>.15</w:t>
            </w:r>
          </w:p>
        </w:tc>
      </w:tr>
      <w:tr w:rsidR="00427BA9">
        <w:tc>
          <w:tcPr>
            <w:tcW w:w="1200" w:type="dxa"/>
          </w:tcPr>
          <w:p w:rsidR="00427BA9" w:rsidRDefault="00CE2045" w14:paraId="00100304" w14:textId="00100305">
            <w:pPr>
              <w:pStyle w:val="TableText"/>
            </w:pPr>
            <w:r>
              <w:rPr>
                <w:b/>
              </w:rPr>
              <w:lastRenderedPageBreak/>
              <w:t>rf</w:t>
            </w:r>
          </w:p>
        </w:tc>
        <w:tc>
          <w:tcPr>
            <w:tcW w:w="1020" w:type="dxa"/>
          </w:tcPr>
          <w:p w:rsidR="00427BA9" w:rsidRDefault="00CE2045" w14:paraId="00100306" w14:textId="00100307">
            <w:pPr>
              <w:pStyle w:val="TableText"/>
              <w:jc w:val="center"/>
            </w:pPr>
            <w:r>
              <w:t>.15</w:t>
            </w:r>
          </w:p>
        </w:tc>
        <w:tc>
          <w:tcPr>
            <w:tcW w:w="1020" w:type="dxa"/>
          </w:tcPr>
          <w:p w:rsidR="00427BA9" w:rsidRDefault="00CE2045" w14:paraId="00100308" w14:textId="00100309">
            <w:pPr>
              <w:pStyle w:val="TableText"/>
              <w:jc w:val="center"/>
            </w:pPr>
            <w:r>
              <w:t>.15</w:t>
            </w:r>
          </w:p>
        </w:tc>
        <w:tc>
          <w:tcPr>
            <w:tcW w:w="1020" w:type="dxa"/>
          </w:tcPr>
          <w:p w:rsidR="00427BA9" w:rsidRDefault="00CE2045" w14:paraId="0010030A" w14:textId="0010030B">
            <w:pPr>
              <w:pStyle w:val="TableText"/>
              <w:jc w:val="center"/>
            </w:pPr>
            <w:r>
              <w:t>.10</w:t>
            </w:r>
          </w:p>
        </w:tc>
        <w:tc>
          <w:tcPr>
            <w:tcW w:w="1020" w:type="dxa"/>
          </w:tcPr>
          <w:p w:rsidR="00427BA9" w:rsidRDefault="00CE2045" w14:paraId="0010030C" w14:textId="0010030D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020" w:type="dxa"/>
          </w:tcPr>
          <w:p w:rsidR="00427BA9" w:rsidRDefault="00CE2045" w14:paraId="0010030E" w14:textId="0010030F">
            <w:pPr>
              <w:pStyle w:val="TableText"/>
              <w:jc w:val="center"/>
            </w:pPr>
            <w:r>
              <w:t>−.15</w:t>
            </w:r>
          </w:p>
        </w:tc>
        <w:tc>
          <w:tcPr>
            <w:tcW w:w="1020" w:type="dxa"/>
          </w:tcPr>
          <w:p w:rsidR="00427BA9" w:rsidRDefault="00CE2045" w14:paraId="00100310" w14:textId="00100311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427BA9" w:rsidRDefault="00CE2045" w14:paraId="00100312" w14:textId="00100313">
            <w:pPr>
              <w:pStyle w:val="TableText"/>
              <w:jc w:val="center"/>
            </w:pPr>
            <w:r>
              <w:t>−.30</w:t>
            </w:r>
          </w:p>
        </w:tc>
        <w:tc>
          <w:tcPr>
            <w:tcW w:w="1020" w:type="dxa"/>
          </w:tcPr>
          <w:p w:rsidR="00427BA9" w:rsidRDefault="00CE2045" w14:paraId="00100314" w14:textId="00100315">
            <w:pPr>
              <w:pStyle w:val="TableText"/>
              <w:jc w:val="center"/>
            </w:pPr>
            <w:r>
              <w:t>.25</w:t>
            </w:r>
          </w:p>
        </w:tc>
      </w:tr>
      <w:tr w:rsidR="00427BA9">
        <w:tc>
          <w:tcPr>
            <w:tcW w:w="1200" w:type="dxa"/>
          </w:tcPr>
          <w:p w:rsidR="00427BA9" w:rsidRDefault="00CE2045" w14:paraId="00100316" w14:textId="00100317">
            <w:pPr>
              <w:pStyle w:val="TableText"/>
            </w:pPr>
            <w:r>
              <w:rPr>
                <w:b/>
              </w:rPr>
              <w:t>erp</w:t>
            </w:r>
          </w:p>
        </w:tc>
        <w:tc>
          <w:tcPr>
            <w:tcW w:w="1020" w:type="dxa"/>
          </w:tcPr>
          <w:p w:rsidR="00427BA9" w:rsidRDefault="00CE2045" w14:paraId="00100318" w14:textId="00100319">
            <w:pPr>
              <w:pStyle w:val="TableText"/>
              <w:jc w:val="center"/>
            </w:pPr>
            <w:r>
              <w:t>−.25</w:t>
            </w:r>
          </w:p>
        </w:tc>
        <w:tc>
          <w:tcPr>
            <w:tcW w:w="1020" w:type="dxa"/>
          </w:tcPr>
          <w:p w:rsidR="00427BA9" w:rsidRDefault="00CE2045" w14:paraId="0010031A" w14:textId="0010031B">
            <w:pPr>
              <w:pStyle w:val="TableText"/>
              <w:jc w:val="center"/>
            </w:pPr>
            <w:r>
              <w:t>−.25</w:t>
            </w:r>
          </w:p>
        </w:tc>
        <w:tc>
          <w:tcPr>
            <w:tcW w:w="1020" w:type="dxa"/>
          </w:tcPr>
          <w:p w:rsidR="00427BA9" w:rsidRDefault="00CE2045" w14:paraId="0010031C" w14:textId="0010031D">
            <w:pPr>
              <w:pStyle w:val="TableText"/>
              <w:jc w:val="center"/>
            </w:pPr>
            <w:r>
              <w:t>−.15</w:t>
            </w:r>
          </w:p>
        </w:tc>
        <w:tc>
          <w:tcPr>
            <w:tcW w:w="1020" w:type="dxa"/>
          </w:tcPr>
          <w:p w:rsidR="00427BA9" w:rsidRDefault="00CE2045" w14:paraId="0010031E" w14:textId="0010031F">
            <w:pPr>
              <w:pStyle w:val="TableText"/>
              <w:jc w:val="center"/>
            </w:pPr>
            <w:r>
              <w:t>−.15</w:t>
            </w:r>
          </w:p>
        </w:tc>
        <w:tc>
          <w:tcPr>
            <w:tcW w:w="1020" w:type="dxa"/>
          </w:tcPr>
          <w:p w:rsidR="00427BA9" w:rsidRDefault="00CE2045" w14:paraId="00100320" w14:textId="00100321">
            <w:pPr>
              <w:pStyle w:val="TableText"/>
              <w:jc w:val="center"/>
            </w:pPr>
            <w:r>
              <w:t>−.10</w:t>
            </w:r>
          </w:p>
        </w:tc>
        <w:tc>
          <w:tcPr>
            <w:tcW w:w="1020" w:type="dxa"/>
          </w:tcPr>
          <w:p w:rsidR="00427BA9" w:rsidRDefault="00CE2045" w14:paraId="00100322" w14:textId="00100323">
            <w:pPr>
              <w:pStyle w:val="TableText"/>
              <w:jc w:val="center"/>
            </w:pPr>
            <w:r>
              <w:t>−.30</w:t>
            </w:r>
          </w:p>
        </w:tc>
        <w:tc>
          <w:tcPr>
            <w:tcW w:w="1020" w:type="dxa"/>
          </w:tcPr>
          <w:p w:rsidR="00427BA9" w:rsidRDefault="00CE2045" w14:paraId="00100324" w14:textId="00100325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427BA9" w:rsidRDefault="00CE2045" w14:paraId="00100326" w14:textId="00100327">
            <w:pPr>
              <w:pStyle w:val="TableText"/>
              <w:jc w:val="center"/>
            </w:pPr>
            <w:r>
              <w:t>−.20</w:t>
            </w:r>
          </w:p>
        </w:tc>
      </w:tr>
      <w:tr w:rsidR="00427BA9">
        <w:tc>
          <w:tcPr>
            <w:tcW w:w="1200" w:type="dxa"/>
          </w:tcPr>
          <w:p w:rsidR="00427BA9" w:rsidRDefault="00CE2045" w14:paraId="00100328" w14:textId="00100329">
            <w:pPr>
              <w:pStyle w:val="TableText"/>
            </w:pPr>
            <w:r>
              <w:rPr>
                <w:b/>
              </w:rPr>
              <w:t>TG</w:t>
            </w:r>
          </w:p>
        </w:tc>
        <w:tc>
          <w:tcPr>
            <w:tcW w:w="1020" w:type="dxa"/>
          </w:tcPr>
          <w:p w:rsidR="00427BA9" w:rsidRDefault="00CE2045" w14:paraId="0010032A" w14:textId="0010032B">
            <w:pPr>
              <w:pStyle w:val="TableText"/>
              <w:jc w:val="center"/>
            </w:pPr>
            <w:r>
              <w:t>.40</w:t>
            </w:r>
          </w:p>
        </w:tc>
        <w:tc>
          <w:tcPr>
            <w:tcW w:w="1020" w:type="dxa"/>
          </w:tcPr>
          <w:p w:rsidR="00427BA9" w:rsidRDefault="00CE2045" w14:paraId="0010032C" w14:textId="0010032D">
            <w:pPr>
              <w:pStyle w:val="TableText"/>
              <w:jc w:val="center"/>
            </w:pPr>
            <w:r>
              <w:t>.30</w:t>
            </w:r>
          </w:p>
        </w:tc>
        <w:tc>
          <w:tcPr>
            <w:tcW w:w="1020" w:type="dxa"/>
          </w:tcPr>
          <w:p w:rsidR="00427BA9" w:rsidRDefault="00CE2045" w14:paraId="0010032E" w14:textId="0010032F">
            <w:pPr>
              <w:pStyle w:val="TableText"/>
              <w:jc w:val="center"/>
            </w:pPr>
            <w:r>
              <w:t>.20</w:t>
            </w:r>
          </w:p>
        </w:tc>
        <w:tc>
          <w:tcPr>
            <w:tcW w:w="1020" w:type="dxa"/>
          </w:tcPr>
          <w:p w:rsidR="00427BA9" w:rsidRDefault="00CE2045" w14:paraId="00100330" w14:textId="00100331">
            <w:pPr>
              <w:pStyle w:val="TableText"/>
              <w:jc w:val="center"/>
            </w:pPr>
            <w:r>
              <w:t>.15</w:t>
            </w:r>
          </w:p>
        </w:tc>
        <w:tc>
          <w:tcPr>
            <w:tcW w:w="1020" w:type="dxa"/>
          </w:tcPr>
          <w:p w:rsidR="00427BA9" w:rsidRDefault="00CE2045" w14:paraId="00100332" w14:textId="00100333">
            <w:pPr>
              <w:pStyle w:val="TableText"/>
              <w:jc w:val="center"/>
            </w:pPr>
            <w:r>
              <w:t>.15</w:t>
            </w:r>
          </w:p>
        </w:tc>
        <w:tc>
          <w:tcPr>
            <w:tcW w:w="1020" w:type="dxa"/>
          </w:tcPr>
          <w:p w:rsidR="00427BA9" w:rsidRDefault="00CE2045" w14:paraId="00100334" w14:textId="00100335">
            <w:pPr>
              <w:pStyle w:val="TableText"/>
              <w:jc w:val="center"/>
            </w:pPr>
            <w:r>
              <w:t>.25</w:t>
            </w:r>
          </w:p>
        </w:tc>
        <w:tc>
          <w:tcPr>
            <w:tcW w:w="1020" w:type="dxa"/>
          </w:tcPr>
          <w:p w:rsidR="00427BA9" w:rsidRDefault="00CE2045" w14:paraId="00100336" w14:textId="00100337">
            <w:pPr>
              <w:pStyle w:val="TableText"/>
              <w:jc w:val="center"/>
            </w:pPr>
            <w:r>
              <w:t>−.20</w:t>
            </w:r>
          </w:p>
        </w:tc>
        <w:tc>
          <w:tcPr>
            <w:tcW w:w="1020" w:type="dxa"/>
          </w:tcPr>
          <w:p w:rsidR="00427BA9" w:rsidRDefault="00CE2045" w14:paraId="00100338" w14:textId="00100339">
            <w:pPr>
              <w:pStyle w:val="TableText"/>
              <w:jc w:val="center"/>
            </w:pPr>
            <w:r>
              <w:t>1</w:t>
            </w:r>
          </w:p>
        </w:tc>
      </w:tr>
    </w:tbl>
    <w:p w:rsidR="00427BA9" w:rsidRDefault="00CE2045" w14:paraId="0010033A" w14:textId="0010033B">
      <w:pPr>
        <w:spacing w:before="120"/>
        <w:ind w:firstLine="360"/>
      </w:pPr>
      <w:r>
        <w:t>Review-driven entries: MA·rf = −0.15 (debt-financed M&amp;A slows when rates spike — the least defensible zero, fixed) and TG·MA = +0.15 (bought growth priced in the terminal — F16 in perpetuity). Regime disclosure: rf·g &gt; 0 assumes demand-driven rates; the supply-shock sensitivity (rf·g = −0.15) is published by the engine.</w:t>
      </w:r>
    </w:p>
    <w:p w:rsidR="00427BA9" w:rsidRDefault="00CE2045" w14:paraId="0010033C" w14:textId="0010033D">
      <w:pPr>
        <w:pStyle w:val="Heading1"/>
      </w:pPr>
      <w:bookmarkStart w:name="_Toc235121492" w:id="11"/>
      <w:r>
        <w:t>Appendix B — Sources</w:t>
      </w:r>
      <w:bookmarkEnd w:id="11"/>
    </w:p>
    <w:p w:rsidR="00427BA9" w:rsidRDefault="00CE2045" w14:paraId="0010033E" w14:textId="0010033F">
      <w:pPr>
        <w:ind w:firstLine="360"/>
      </w:pPr>
      <w:r>
        <w:t>External:</w:t>
      </w:r>
    </w:p>
    <w:p w:rsidR="00427BA9" w:rsidRDefault="00CE2045" w14:paraId="00100340" w14:textId="00100341">
      <w:pPr>
        <w:numPr>
          <w:ilvl w:val="0"/>
          <w:numId w:val="3"/>
        </w:numPr>
        <w:spacing w:after="60"/>
      </w:pPr>
      <w:r>
        <w:rPr>
          <w:sz w:val="19"/>
        </w:rPr>
        <w:t>CNBC, “IBM warns second-quarter earnings fell short of expectations” (Jul 14, 2026) — https://www.cnbc.com/2026/07/14/ibm-warns-second-quarter-earnings-fell-short-of-expectations.html</w:t>
      </w:r>
    </w:p>
    <w:p w:rsidR="00427BA9" w:rsidRDefault="00CE2045" w14:paraId="00100342" w14:textId="00100343">
      <w:pPr>
        <w:numPr>
          <w:ilvl w:val="0"/>
          <w:numId w:val="3"/>
        </w:numPr>
        <w:spacing w:after="60"/>
      </w:pPr>
      <w:r>
        <w:rPr>
          <w:sz w:val="19"/>
        </w:rPr>
        <w:t>Bloomberg, “IBM says second-quarter sales missed as customers pulled back” (Jul 14, 2026) — https://www.bloomberg.com/news/articles/2026-07-14/ibm-says-second-quarter-sales-missed-as-customers-pulled-back</w:t>
      </w:r>
    </w:p>
    <w:p w:rsidR="00427BA9" w:rsidRDefault="00CE2045" w14:paraId="00100344" w14:textId="00100345">
      <w:pPr>
        <w:numPr>
          <w:ilvl w:val="0"/>
          <w:numId w:val="3"/>
        </w:numPr>
        <w:spacing w:after="60"/>
      </w:pPr>
      <w:r>
        <w:rPr>
          <w:sz w:val="19"/>
        </w:rPr>
        <w:t>Benzinga, Oppenheimer downgrade and later reiteration — https://www.benzinga.com/markets/large-cap/26/07/60493640/whats-going-on-with-ibm-stock-on-thursday-2</w:t>
      </w:r>
    </w:p>
    <w:p w:rsidR="00427BA9" w:rsidRDefault="00CE2045" w14:paraId="00100346" w14:textId="00100347">
      <w:pPr>
        <w:numPr>
          <w:ilvl w:val="0"/>
          <w:numId w:val="3"/>
        </w:numPr>
        <w:spacing w:after="60"/>
      </w:pPr>
      <w:r>
        <w:rPr>
          <w:sz w:val="19"/>
        </w:rPr>
        <w:t>MarketScreener, Morgan Stanley target change — https://www.marketscreener.com/news/morgan-stanley-raises-price-target-on-ibm-to-293-from-267-keeps-equalweight-rating-ce7f5edcd18af12d</w:t>
      </w:r>
    </w:p>
    <w:p w:rsidR="00427BA9" w:rsidRDefault="00CE2045" w14:paraId="00100348" w14:textId="00100349">
      <w:pPr>
        <w:numPr>
          <w:ilvl w:val="0"/>
          <w:numId w:val="3"/>
        </w:numPr>
        <w:spacing w:after="60"/>
      </w:pPr>
      <w:r>
        <w:rPr>
          <w:sz w:val="19"/>
        </w:rPr>
        <w:t>StreetInsider, HSBC downgrade — https://www.streetinsider.com/Analyst+Comments/HSBC+Downgrades+IBM+(IBM)+to+Reduce,+Stretched+Valuation/26764503.html</w:t>
      </w:r>
    </w:p>
    <w:p w:rsidR="00427BA9" w:rsidRDefault="00CE2045" w14:paraId="0010034A" w14:textId="0010034B">
      <w:pPr>
        <w:numPr>
          <w:ilvl w:val="0"/>
          <w:numId w:val="3"/>
        </w:numPr>
        <w:spacing w:after="60"/>
      </w:pPr>
      <w:r>
        <w:rPr>
          <w:sz w:val="19"/>
        </w:rPr>
        <w:t>Investing.com, BofA target cut — https://www.investing.com/news/analyst-ratings/bofa-cuts-ibm-stock-price-target-on-revenue-miss-software-weakness-93CH-4791206</w:t>
      </w:r>
    </w:p>
    <w:p w:rsidR="00427BA9" w:rsidRDefault="00CE2045" w14:paraId="0010034C" w14:textId="0010034D">
      <w:pPr>
        <w:numPr>
          <w:ilvl w:val="0"/>
          <w:numId w:val="3"/>
        </w:numPr>
        <w:spacing w:after="60"/>
      </w:pPr>
      <w:r>
        <w:rPr>
          <w:sz w:val="19"/>
        </w:rPr>
        <w:t>Investing.com, Argus target cut — https://www.investing.com/news/analyst-ratings/argus-cuts-ibm-stock-price-target-to-280-on-weak-q2-guidance-93CH-4795696</w:t>
      </w:r>
    </w:p>
    <w:p w:rsidR="00427BA9" w:rsidRDefault="00CE2045" w14:paraId="0010034E" w14:textId="0010034F">
      <w:pPr>
        <w:numPr>
          <w:ilvl w:val="0"/>
          <w:numId w:val="3"/>
        </w:numPr>
        <w:spacing w:after="60"/>
      </w:pPr>
      <w:r>
        <w:rPr>
          <w:sz w:val="19"/>
        </w:rPr>
        <w:t>IBM Q4-2025 8-K, Exhibit 99.1 (Jan 28, 2026; FY2025 results, segment detail, FY2026 FCF guide) — https://www.sec.gov/Archives/edgar/data/51143/000005114326000004/ibm-20260128xex991.htm — plus Q4 8-K Ex. 99.1 filings 2022–2026 for segment history</w:t>
      </w:r>
    </w:p>
    <w:p w:rsidR="00427BA9" w:rsidRDefault="00CE2045" w14:paraId="00100350" w14:textId="00100351">
      <w:pPr>
        <w:numPr>
          <w:ilvl w:val="0"/>
          <w:numId w:val="3"/>
        </w:numPr>
        <w:spacing w:after="60"/>
      </w:pPr>
      <w:r>
        <w:rPr>
          <w:sz w:val="19"/>
        </w:rPr>
        <w:t>A. Damodaran, implied equity risk premium (July 2026 update; 4.45% cited, 4.23% Jan 2026) — https://pages.stern.nyu.edu/~adamodar/</w:t>
      </w:r>
    </w:p>
    <w:p w:rsidR="007661C2" w:rsidRDefault="002F0AE0" w14:paraId="00100352" w14:textId="00100353">
      <w:pPr>
        <w:numPr>
          <w:ilvl w:val="0"/>
          <w:numId w:val="3"/>
        </w:numPr>
        <w:spacing w:after="60"/>
      </w:pPr>
      <w:r>
        <w:rPr>
          <w:sz w:val="19"/>
        </w:rPr>
        <w:t>IBM FY2025 Form 10-K (RPO $71.0B and duration split, revenue note) — https://www.sec.gov/Archives/edgar/data/51143/000005114326000010/ibm-20251231.htm</w:t>
      </w:r>
    </w:p>
    <w:p w:rsidR="00427BA9" w:rsidRDefault="00CE2045" w14:paraId="00100354" w14:textId="00100355">
      <w:pPr>
        <w:ind w:firstLine="360"/>
      </w:pPr>
      <w:r>
        <w:t>Internal (repo artifacts; all numbers above trace to these):</w:t>
      </w:r>
    </w:p>
    <w:p w:rsidR="00427BA9" w:rsidRDefault="00CE2045" w14:paraId="00100356" w14:textId="00100357">
      <w:pPr>
        <w:numPr>
          <w:ilvl w:val="0"/>
          <w:numId w:val="4"/>
        </w:numPr>
        <w:spacing w:after="60"/>
      </w:pPr>
      <w:r>
        <w:rPr>
          <w:rFonts w:ascii="Consolas" w:hAnsi="Consolas" w:eastAsia="Consolas"/>
          <w:sz w:val="19"/>
        </w:rPr>
        <w:t>analysis/IBM/DRIVERS.md</w:t>
      </w:r>
      <w:r>
        <w:rPr>
          <w:sz w:val="19"/>
        </w:rPr>
        <w:t xml:space="preserve"> — consolidated v4 assumption register</w:t>
      </w:r>
    </w:p>
    <w:p w:rsidR="00427BA9" w:rsidRDefault="00CE2045" w14:paraId="00100358" w14:textId="00100359">
      <w:pPr>
        <w:numPr>
          <w:ilvl w:val="0"/>
          <w:numId w:val="4"/>
        </w:numPr>
        <w:spacing w:after="60"/>
      </w:pPr>
      <w:r>
        <w:rPr>
          <w:rFonts w:ascii="Consolas" w:hAnsi="Consolas" w:eastAsia="Consolas"/>
          <w:sz w:val="19"/>
        </w:rPr>
        <w:lastRenderedPageBreak/>
        <w:t>analysis/IBM/driver_model.py</w:t>
      </w:r>
      <w:r>
        <w:rPr>
          <w:sz w:val="19"/>
        </w:rPr>
        <w:t xml:space="preserve"> — normative executable model definition</w:t>
      </w:r>
    </w:p>
    <w:p w:rsidR="00427BA9" w:rsidRDefault="00CE2045" w14:paraId="0010035A" w14:textId="0010035B">
      <w:pPr>
        <w:numPr>
          <w:ilvl w:val="0"/>
          <w:numId w:val="4"/>
        </w:numPr>
        <w:spacing w:after="60"/>
      </w:pPr>
      <w:r>
        <w:rPr>
          <w:rFonts w:ascii="Consolas" w:hAnsi="Consolas" w:eastAsia="Consolas"/>
          <w:sz w:val="19"/>
        </w:rPr>
        <w:t>analysis/IBM/README.md</w:t>
      </w:r>
      <w:r>
        <w:rPr>
          <w:sz w:val="19"/>
        </w:rPr>
        <w:t xml:space="preserve"> (v3) — crash narrative, fundamentals, net-debt bridge, options snapshot, data notes</w:t>
      </w:r>
    </w:p>
    <w:p w:rsidR="00427BA9" w:rsidRDefault="00CE2045" w14:paraId="0010035C" w14:textId="0010035D">
      <w:pPr>
        <w:numPr>
          <w:ilvl w:val="0"/>
          <w:numId w:val="4"/>
        </w:numPr>
        <w:spacing w:after="60"/>
      </w:pPr>
      <w:r>
        <w:rPr>
          <w:rFonts w:ascii="Consolas" w:hAnsi="Consolas" w:eastAsia="Consolas"/>
          <w:sz w:val="19"/>
        </w:rPr>
        <w:t>analysis/IBM/REVIEW.md</w:t>
      </w:r>
      <w:r>
        <w:rPr>
          <w:sz w:val="19"/>
        </w:rPr>
        <w:t xml:space="preserve"> — v1→v3 adversarial review ledger (19 findings, dispositions, deferred tickets)</w:t>
      </w:r>
    </w:p>
    <w:p w:rsidR="00427BA9" w:rsidRDefault="00CE2045" w14:paraId="0010035E" w14:textId="0010035F">
      <w:pPr>
        <w:numPr>
          <w:ilvl w:val="0"/>
          <w:numId w:val="4"/>
        </w:numPr>
        <w:spacing w:after="60"/>
      </w:pPr>
      <w:r>
        <w:rPr>
          <w:rFonts w:ascii="Consolas" w:hAnsi="Consolas" w:eastAsia="Consolas"/>
          <w:sz w:val="19"/>
        </w:rPr>
        <w:t>analysis/IBM/DRIVER-REVIEW.md</w:t>
      </w:r>
      <w:r>
        <w:rPr>
          <w:sz w:val="19"/>
        </w:rPr>
        <w:t xml:space="preserve"> — v4 driver-level reviews (19 round-1 + 4 consolidation) and dispositions, including the RPO re-look (all proposed parameter changes rejected; v4 numbers unchanged)</w:t>
      </w:r>
    </w:p>
    <w:p w:rsidR="007661C2" w:rsidRDefault="002F0AE0" w14:paraId="00100360" w14:textId="00100361">
      <w:pPr>
        <w:numPr>
          <w:ilvl w:val="0"/>
          <w:numId w:val="4"/>
        </w:numPr>
        <w:spacing w:after="60"/>
      </w:pPr>
      <w:r>
        <w:rPr>
          <w:rFonts w:ascii="Consolas" w:hAnsi="Consolas" w:eastAsia="Consolas"/>
          <w:sz w:val="19"/>
        </w:rPr>
        <w:t>analysis/IBM/research-ledger.md</w:t>
      </w:r>
      <w:r>
        <w:rPr>
          <w:sz w:val="19"/>
        </w:rPr>
        <w:t xml:space="preserve"> — frozen, source-tagged facts consumed by the model (RPO facts expire at the Q2-2026 10-Q)</w:t>
      </w:r>
    </w:p>
    <w:sectPr w:rsidR="007661C2">
      <w:footerReference w:type="default" r:id="rId7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0AE0" w:rsidRDefault="002F0AE0" w14:paraId="00100368" w14:textId="00100369">
      <w:pPr>
        <w:spacing w:line="240" w:lineRule="auto"/>
      </w:pPr>
      <w:r>
        <w:separator/>
      </w:r>
    </w:p>
  </w:endnote>
  <w:endnote w:type="continuationSeparator" w:id="0">
    <w:p w:rsidR="002F0AE0" w:rsidRDefault="002F0AE0" w14:paraId="0010036A" w14:textId="00100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427BA9" w:rsidRDefault="00CE2045" w14:paraId="00100362" w14:textId="00100363">
    <w:pPr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95959"/>
        <w:sz w:val="18"/>
      </w:rPr>
      <w:t>1</w:t>
    </w:r>
    <w:r>
      <w:fldChar w:fldCharType="end"/>
    </w:r>
    <w:r>
      <w:rPr>
        <w:color w:val="595959"/>
        <w:sz w:val="18"/>
      </w:rPr>
      <w:t xml:space="preserve"> of </w:t>
    </w:r>
    <w:fldSimple w:instr=" NUMPAGES ">
      <w:r>
        <w:rPr>
          <w:color w:val="595959"/>
          <w:sz w:val="18"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0AE0" w:rsidRDefault="002F0AE0" w14:paraId="00100364" w14:textId="00100365">
      <w:pPr>
        <w:spacing w:line="240" w:lineRule="auto"/>
      </w:pPr>
      <w:r>
        <w:separator/>
      </w:r>
    </w:p>
  </w:footnote>
  <w:footnote w:type="continuationSeparator" w:id="0">
    <w:p w:rsidR="002F0AE0" w:rsidRDefault="002F0AE0" w14:paraId="00100366" w14:textId="001003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16C"/>
    <w:multiLevelType w:val="hybridMultilevel"/>
    <w:tmpl w:val="0622B7F4"/>
    <w:lvl w:ilvl="0" w:tplc="A334AA4C">
      <w:start w:val="1"/>
      <w:numFmt w:val="decimal"/>
      <w:lvlText w:val="%1."/>
      <w:lvlJc w:val="left"/>
      <w:pPr>
        <w:ind w:left="720" w:hanging="360"/>
      </w:pPr>
    </w:lvl>
    <w:lvl w:ilvl="1" w:tplc="B8E6DA58">
      <w:start w:val="1"/>
      <w:numFmt w:val="lowerLetter"/>
      <w:lvlText w:val="%2."/>
      <w:lvlJc w:val="left"/>
      <w:pPr>
        <w:ind w:left="1440" w:hanging="360"/>
      </w:pPr>
    </w:lvl>
    <w:lvl w:ilvl="2" w:tplc="210C552A">
      <w:start w:val="1"/>
      <w:numFmt w:val="lowerRoman"/>
      <w:lvlText w:val="%3."/>
      <w:lvlJc w:val="left"/>
      <w:pPr>
        <w:ind w:left="2160" w:hanging="360"/>
      </w:pPr>
    </w:lvl>
    <w:lvl w:ilvl="3" w:tplc="C6CC111A">
      <w:start w:val="1"/>
      <w:numFmt w:val="decimal"/>
      <w:lvlText w:val="%4."/>
      <w:lvlJc w:val="left"/>
      <w:pPr>
        <w:ind w:left="2880" w:hanging="360"/>
      </w:pPr>
    </w:lvl>
    <w:lvl w:ilvl="4" w:tplc="85B85408">
      <w:start w:val="1"/>
      <w:numFmt w:val="lowerLetter"/>
      <w:lvlText w:val="%5."/>
      <w:lvlJc w:val="left"/>
      <w:pPr>
        <w:ind w:left="3600" w:hanging="360"/>
      </w:pPr>
    </w:lvl>
    <w:lvl w:ilvl="5" w:tplc="444C6A68">
      <w:start w:val="1"/>
      <w:numFmt w:val="lowerRoman"/>
      <w:lvlText w:val="%6."/>
      <w:lvlJc w:val="left"/>
      <w:pPr>
        <w:ind w:left="4320" w:hanging="360"/>
      </w:pPr>
    </w:lvl>
    <w:lvl w:ilvl="6" w:tplc="77D0035E">
      <w:start w:val="1"/>
      <w:numFmt w:val="decimal"/>
      <w:lvlText w:val="%7."/>
      <w:lvlJc w:val="left"/>
      <w:pPr>
        <w:ind w:left="5040" w:hanging="360"/>
      </w:pPr>
    </w:lvl>
    <w:lvl w:ilvl="7" w:tplc="9D986F1A">
      <w:start w:val="1"/>
      <w:numFmt w:val="lowerLetter"/>
      <w:lvlText w:val="%8."/>
      <w:lvlJc w:val="left"/>
      <w:pPr>
        <w:ind w:left="5760" w:hanging="360"/>
      </w:pPr>
    </w:lvl>
    <w:lvl w:ilvl="8" w:tplc="C6960BC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DE94527"/>
    <w:multiLevelType w:val="hybridMultilevel"/>
    <w:tmpl w:val="4C641C36"/>
    <w:lvl w:ilvl="0" w:tplc="B59EF1AC">
      <w:start w:val="1"/>
      <w:numFmt w:val="bullet"/>
      <w:lvlText w:val="•"/>
      <w:lvlJc w:val="left"/>
      <w:pPr>
        <w:ind w:left="720" w:hanging="360"/>
      </w:pPr>
    </w:lvl>
    <w:lvl w:ilvl="1" w:tplc="D9CE3104">
      <w:start w:val="1"/>
      <w:numFmt w:val="bullet"/>
      <w:lvlText w:val="◦"/>
      <w:lvlJc w:val="left"/>
      <w:pPr>
        <w:ind w:left="1440" w:hanging="360"/>
      </w:pPr>
    </w:lvl>
    <w:lvl w:ilvl="2" w:tplc="CC14BFBA">
      <w:start w:val="1"/>
      <w:numFmt w:val="bullet"/>
      <w:lvlText w:val="▪"/>
      <w:lvlJc w:val="left"/>
      <w:pPr>
        <w:ind w:left="2160" w:hanging="360"/>
      </w:pPr>
    </w:lvl>
    <w:lvl w:ilvl="3" w:tplc="E4201B98">
      <w:start w:val="1"/>
      <w:numFmt w:val="bullet"/>
      <w:lvlText w:val="•"/>
      <w:lvlJc w:val="left"/>
      <w:pPr>
        <w:ind w:left="2880" w:hanging="360"/>
      </w:pPr>
    </w:lvl>
    <w:lvl w:ilvl="4" w:tplc="15523592">
      <w:start w:val="1"/>
      <w:numFmt w:val="bullet"/>
      <w:lvlText w:val="◦"/>
      <w:lvlJc w:val="left"/>
      <w:pPr>
        <w:ind w:left="3600" w:hanging="360"/>
      </w:pPr>
    </w:lvl>
    <w:lvl w:ilvl="5" w:tplc="7A7670FA">
      <w:start w:val="1"/>
      <w:numFmt w:val="bullet"/>
      <w:lvlText w:val="▪"/>
      <w:lvlJc w:val="left"/>
      <w:pPr>
        <w:ind w:left="4320" w:hanging="360"/>
      </w:pPr>
    </w:lvl>
    <w:lvl w:ilvl="6" w:tplc="97424E16">
      <w:start w:val="1"/>
      <w:numFmt w:val="bullet"/>
      <w:lvlText w:val="•"/>
      <w:lvlJc w:val="left"/>
      <w:pPr>
        <w:ind w:left="5040" w:hanging="360"/>
      </w:pPr>
    </w:lvl>
    <w:lvl w:ilvl="7" w:tplc="2CC0237C">
      <w:start w:val="1"/>
      <w:numFmt w:val="bullet"/>
      <w:lvlText w:val="◦"/>
      <w:lvlJc w:val="left"/>
      <w:pPr>
        <w:ind w:left="5760" w:hanging="360"/>
      </w:pPr>
    </w:lvl>
    <w:lvl w:ilvl="8" w:tplc="CE8EA6EE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202E2AFF"/>
    <w:multiLevelType w:val="hybridMultilevel"/>
    <w:tmpl w:val="75689E92"/>
    <w:lvl w:ilvl="0" w:tplc="D1403902">
      <w:start w:val="1"/>
      <w:numFmt w:val="decimal"/>
      <w:lvlText w:val="%1."/>
      <w:lvlJc w:val="left"/>
      <w:pPr>
        <w:ind w:left="720" w:hanging="360"/>
      </w:pPr>
    </w:lvl>
    <w:lvl w:ilvl="1" w:tplc="8A242A82">
      <w:start w:val="1"/>
      <w:numFmt w:val="lowerLetter"/>
      <w:lvlText w:val="%2."/>
      <w:lvlJc w:val="left"/>
      <w:pPr>
        <w:ind w:left="1440" w:hanging="360"/>
      </w:pPr>
    </w:lvl>
    <w:lvl w:ilvl="2" w:tplc="020AB8E0">
      <w:start w:val="1"/>
      <w:numFmt w:val="lowerRoman"/>
      <w:lvlText w:val="%3."/>
      <w:lvlJc w:val="left"/>
      <w:pPr>
        <w:ind w:left="2160" w:hanging="360"/>
      </w:pPr>
    </w:lvl>
    <w:lvl w:ilvl="3" w:tplc="DC5429D4">
      <w:start w:val="1"/>
      <w:numFmt w:val="decimal"/>
      <w:lvlText w:val="%4."/>
      <w:lvlJc w:val="left"/>
      <w:pPr>
        <w:ind w:left="2880" w:hanging="360"/>
      </w:pPr>
    </w:lvl>
    <w:lvl w:ilvl="4" w:tplc="29A4BCF8">
      <w:start w:val="1"/>
      <w:numFmt w:val="lowerLetter"/>
      <w:lvlText w:val="%5."/>
      <w:lvlJc w:val="left"/>
      <w:pPr>
        <w:ind w:left="3600" w:hanging="360"/>
      </w:pPr>
    </w:lvl>
    <w:lvl w:ilvl="5" w:tplc="1B641F6C">
      <w:start w:val="1"/>
      <w:numFmt w:val="lowerRoman"/>
      <w:lvlText w:val="%6."/>
      <w:lvlJc w:val="left"/>
      <w:pPr>
        <w:ind w:left="4320" w:hanging="360"/>
      </w:pPr>
    </w:lvl>
    <w:lvl w:ilvl="6" w:tplc="FC7830B4">
      <w:start w:val="1"/>
      <w:numFmt w:val="decimal"/>
      <w:lvlText w:val="%7."/>
      <w:lvlJc w:val="left"/>
      <w:pPr>
        <w:ind w:left="5040" w:hanging="360"/>
      </w:pPr>
    </w:lvl>
    <w:lvl w:ilvl="7" w:tplc="DB7CCE1E">
      <w:start w:val="1"/>
      <w:numFmt w:val="lowerLetter"/>
      <w:lvlText w:val="%8."/>
      <w:lvlJc w:val="left"/>
      <w:pPr>
        <w:ind w:left="5760" w:hanging="360"/>
      </w:pPr>
    </w:lvl>
    <w:lvl w:ilvl="8" w:tplc="04AC89A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5A634B61"/>
    <w:multiLevelType w:val="hybridMultilevel"/>
    <w:tmpl w:val="FF028FFC"/>
    <w:lvl w:ilvl="0" w:tplc="2514F490">
      <w:start w:val="1"/>
      <w:numFmt w:val="bullet"/>
      <w:lvlText w:val="•"/>
      <w:lvlJc w:val="left"/>
      <w:pPr>
        <w:ind w:left="720" w:hanging="360"/>
      </w:pPr>
    </w:lvl>
    <w:lvl w:ilvl="1" w:tplc="BA54AEA0">
      <w:start w:val="1"/>
      <w:numFmt w:val="bullet"/>
      <w:lvlText w:val="◦"/>
      <w:lvlJc w:val="left"/>
      <w:pPr>
        <w:ind w:left="1440" w:hanging="360"/>
      </w:pPr>
    </w:lvl>
    <w:lvl w:ilvl="2" w:tplc="B810C896">
      <w:start w:val="1"/>
      <w:numFmt w:val="bullet"/>
      <w:lvlText w:val="▪"/>
      <w:lvlJc w:val="left"/>
      <w:pPr>
        <w:ind w:left="2160" w:hanging="360"/>
      </w:pPr>
    </w:lvl>
    <w:lvl w:ilvl="3" w:tplc="E14EFF80">
      <w:start w:val="1"/>
      <w:numFmt w:val="bullet"/>
      <w:lvlText w:val="•"/>
      <w:lvlJc w:val="left"/>
      <w:pPr>
        <w:ind w:left="2880" w:hanging="360"/>
      </w:pPr>
    </w:lvl>
    <w:lvl w:ilvl="4" w:tplc="9F18D136">
      <w:start w:val="1"/>
      <w:numFmt w:val="bullet"/>
      <w:lvlText w:val="◦"/>
      <w:lvlJc w:val="left"/>
      <w:pPr>
        <w:ind w:left="3600" w:hanging="360"/>
      </w:pPr>
    </w:lvl>
    <w:lvl w:ilvl="5" w:tplc="BA361AB4">
      <w:start w:val="1"/>
      <w:numFmt w:val="bullet"/>
      <w:lvlText w:val="▪"/>
      <w:lvlJc w:val="left"/>
      <w:pPr>
        <w:ind w:left="4320" w:hanging="360"/>
      </w:pPr>
    </w:lvl>
    <w:lvl w:ilvl="6" w:tplc="AC7CC1F4">
      <w:start w:val="1"/>
      <w:numFmt w:val="bullet"/>
      <w:lvlText w:val="•"/>
      <w:lvlJc w:val="left"/>
      <w:pPr>
        <w:ind w:left="5040" w:hanging="360"/>
      </w:pPr>
    </w:lvl>
    <w:lvl w:ilvl="7" w:tplc="56CE6E18">
      <w:start w:val="1"/>
      <w:numFmt w:val="bullet"/>
      <w:lvlText w:val="◦"/>
      <w:lvlJc w:val="left"/>
      <w:pPr>
        <w:ind w:left="5760" w:hanging="360"/>
      </w:pPr>
    </w:lvl>
    <w:lvl w:ilvl="8" w:tplc="3198F8D2">
      <w:start w:val="1"/>
      <w:numFmt w:val="bullet"/>
      <w:lvlText w:val="▪"/>
      <w:lvlJc w:val="left"/>
      <w:pPr>
        <w:ind w:left="6480" w:hanging="360"/>
      </w:pPr>
    </w:lvl>
  </w:abstractNum>
  <w:num w:numId="1" w16cid:durableId="267742700">
    <w:abstractNumId w:val="0"/>
  </w:num>
  <w:num w:numId="2" w16cid:durableId="1216046221">
    <w:abstractNumId w:val="1"/>
  </w:num>
  <w:num w:numId="3" w16cid:durableId="719936721">
    <w:abstractNumId w:val="2"/>
  </w:num>
  <w:num w:numId="4" w16cid:durableId="2007247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A9"/>
    <w:rsid w:val="002947EB"/>
    <w:rsid w:val="002F0AE0"/>
    <w:rsid w:val="00427BA9"/>
    <w:rsid w:val="007661C2"/>
    <w:rsid w:val="009E262E"/>
    <w:rsid w:val="00CE2045"/>
    <w:rsid w:val="00D90701"/>
    <w:rsid w:val="00F0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46EA21-8557-4DB4-B539-30E03834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hAnsi="Georgia" w:eastAsia="Georgia" w:cs="Georgia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312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20"/>
      <w:outlineLvl w:val="0"/>
    </w:pPr>
    <w:rPr>
      <w:b/>
      <w:color w:val="1F3864"/>
      <w:sz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80"/>
      <w:outlineLvl w:val="1"/>
    </w:pPr>
    <w:rPr>
      <w:b/>
      <w:color w:val="1F3864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40"/>
    </w:pPr>
    <w:rPr>
      <w:b/>
      <w:color w:val="1F3864"/>
      <w:sz w:val="48"/>
    </w:rPr>
  </w:style>
  <w:style w:type="paragraph" w:styleId="TableText" w:customStyle="1">
    <w:name w:val="Table Text"/>
    <w:basedOn w:val="Normal"/>
    <w:pPr>
      <w:spacing w:before="20" w:after="20" w:line="276" w:lineRule="auto"/>
    </w:pPr>
    <w:rPr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2947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47E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47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3416</Words>
  <Characters>19477</Characters>
  <Application>Microsoft Office Word</Application>
  <DocSecurity>0</DocSecurity>
  <Lines>162</Lines>
  <Paragraphs>45</Paragraphs>
  <ScaleCrop>false</ScaleCrop>
  <Company/>
  <LinksUpToDate>false</LinksUpToDate>
  <CharactersWithSpaces>22848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Luc Ouellet</cp:lastModifiedBy>
  <cp:revision>3</cp:revision>
  <dcterms:created xsi:type="dcterms:W3CDTF">2026-07-16T22:48:00Z</dcterms:created>
  <dcterms:modified xsi:type="dcterms:W3CDTF">2026-07-17T16:29:00Z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1.0.136</vt:lpwstr>
  </op:property>
  <op:property fmtid="{D5CDD505-2E9C-101B-9397-08002B2CF9AE}" pid="3" name="OfficeCLI.LastModified">
    <vt:lpwstr>2026-07-17T16:33:41Z</vt:lpwstr>
  </op:property>
</op:Properties>
</file>