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for DELIVERING the programme: the full plan for all four components, the cards to cut out, and the records are all inside it, in the order you will need them. The learner books are separate files - you print those, you do not read them from here - and Part 7 says which is which and how this plan points into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Where the learner books are - they are separate files, not printed inside this guide - and how the plan points into them by sheet number.</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once,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Learners still see every page, they just cannot keep their own copy.</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A SEPARATE FILE, not inside this guide. It holds all three learner books,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where they are, and what to print</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240" w:before="0" w:line="300"/>
      </w:pPr>
      <w:r>
        <w:rPr>
          <w:color w:val="5A6473"/>
          <w:sz w:val="23"/>
          <w:szCs w:val="23"/>
        </w:rPr>
        <w:t xml:space="preserve">Your three roles, how delivery is rebuilt for this context, what a week could look like, and the rhythm of the twelve weeks.</w:t>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delivering oral and visual first, in the language you share with learners.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spacing w:after="140" w:before="0" w:line="300"/>
      </w:pPr>
      <w:r>
        <w:rPr>
          <w:sz w:val="22"/>
          <w:szCs w:val="22"/>
        </w:rPr>
        <w:t xml:space="preserve">Three things are rebuilt for this context. Hold all three, in every session.</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Most learners are not yet literate in any language. Deliver from the plain-English guide in the language you use with learners; learners draw, colour, and speak rather than read and write. The materials are built for this - lean on the say-aloud guidance rather than assuming subject expertise.</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 - which is the point as much as the presenting is.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It is the only time anyone sees the whole programme in one learner.</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marked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2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conversations are working towards - the plan is how, this is why.</w:t>
      </w:r>
    </w:p>
    <w:p>
      <w:pPr>
        <w:spacing w:after="140" w:before="0" w:line="300"/>
      </w:pPr>
      <w:r>
        <w:rPr>
          <w:sz w:val="22"/>
          <w:szCs w:val="22"/>
        </w:rPr>
        <w:t xml:space="preserve">Mentoring and Wellbeing is what makes the programme add up to a person rather than three courses. It is the only component that touches the same learner across all twelve weeks and all three of the others: the place where a young person is known as an individual, where the goal set in Agency in Learning stays alive between sessions, where distress is noticed early enough to act on, and where the capability a learner already exercises in daily life is recognised as capability. It adds no hours of its own - about ten minutes per learner, most weeks, inside the in-person time the taught components already use.</w:t>
      </w:r>
    </w:p>
    <w:p>
      <w:pPr>
        <w:pStyle w:val="Heading3"/>
        <w:keepNext/>
        <w:spacing w:after="100" w:before="280"/>
      </w:pPr>
      <w:r>
        <w:rPr>
          <w:b/>
          <w:bCs/>
          <w:color w:val="7A3B69"/>
          <w:sz w:val="28"/>
          <w:szCs w:val="28"/>
        </w:rPr>
        <w:t xml:space="preserve">What it is working towards</w:t>
      </w:r>
    </w:p>
    <w:p>
      <w:pPr>
        <w:spacing w:after="120" w:before="0" w:line="300"/>
      </w:pPr>
      <w:r>
        <w:rPr>
          <w:sz w:val="22"/>
          <w:szCs w:val="22"/>
        </w:rPr>
        <w:t xml:space="preserve">Five aims, and they are the same five things Amala’s shared mentoring practice covers. The arc later in this guide is how they are reached across twelve weeks.</w:t>
      </w:r>
    </w:p>
    <w:p>
      <w:pPr>
        <w:pStyle w:val="Heading4"/>
        <w:keepNext/>
        <w:spacing w:after="80" w:before="220"/>
      </w:pPr>
      <w:r>
        <w:rPr>
          <w:b/>
          <w:bCs/>
          <w:color w:val="1F3A5F"/>
          <w:sz w:val="24"/>
          <w:szCs w:val="24"/>
        </w:rPr>
        <w:t xml:space="preserve">1.  A learner is known as a person, and knows they are</w:t>
      </w:r>
    </w:p>
    <w:p>
      <w:pPr>
        <w:spacing w:after="140" w:before="0" w:line="300"/>
      </w:pPr>
      <w:r>
        <w:rPr>
          <w:sz w:val="21"/>
          <w:szCs w:val="21"/>
        </w:rPr>
        <w:t xml:space="preserve">What you do:  Short, regular 1:1 conversations that begin with a genuine check-in rather than a progress check, with small enough caseloads that each learner is actually known, and pairing for gender and language so a learner can speak freely.</w:t>
      </w:r>
    </w:p>
    <w:p>
      <w:pPr>
        <w:spacing w:after="140" w:before="0" w:line="300"/>
      </w:pPr>
      <w:r>
        <w:rPr>
          <w:color w:val="5A6473"/>
          <w:sz w:val="21"/>
          <w:szCs w:val="21"/>
        </w:rPr>
        <w:t xml:space="preserve">What it looks like when it is working:  A learner talks to you about something that is not the task. A learner who was silent in week one is answering by week four.</w:t>
      </w:r>
    </w:p>
    <w:p>
      <w:pPr>
        <w:pStyle w:val="Heading4"/>
        <w:keepNext/>
        <w:spacing w:after="80" w:before="220"/>
      </w:pPr>
      <w:r>
        <w:rPr>
          <w:b/>
          <w:bCs/>
          <w:color w:val="1F3A5F"/>
          <w:sz w:val="24"/>
          <w:szCs w:val="24"/>
        </w:rPr>
        <w:t xml:space="preserve">2.  Distress is noticed early, and referred - not counselled</w:t>
      </w:r>
    </w:p>
    <w:p>
      <w:pPr>
        <w:spacing w:after="140" w:before="0" w:line="300"/>
      </w:pPr>
      <w:r>
        <w:rPr>
          <w:sz w:val="21"/>
          <w:szCs w:val="21"/>
        </w:rPr>
        <w:t xml:space="preserve">What you do:  You watch the pattern across weeks rather than the answer in one conversation, keep a light record so each conversation builds on the last, and know NRC's referral pathway before you take a single learner.</w:t>
      </w:r>
    </w:p>
    <w:p>
      <w:pPr>
        <w:spacing w:after="140" w:before="0" w:line="300"/>
      </w:pPr>
      <w:r>
        <w:rPr>
          <w:color w:val="5A6473"/>
          <w:sz w:val="21"/>
          <w:szCs w:val="21"/>
        </w:rPr>
        <w:t xml:space="preserve">What it looks like when it is working:  You spot a change in how "fine" sounds, and act on it before it becomes a crisis. When something surfaces, you already know who to hand it to.</w:t>
      </w:r>
    </w:p>
    <w:p>
      <w:pPr>
        <w:pStyle w:val="Heading4"/>
        <w:keepNext/>
        <w:spacing w:after="80" w:before="220"/>
      </w:pPr>
      <w:r>
        <w:rPr>
          <w:b/>
          <w:bCs/>
          <w:color w:val="1F3A5F"/>
          <w:sz w:val="24"/>
          <w:szCs w:val="24"/>
        </w:rPr>
        <w:t xml:space="preserve">3.  The learning goal stays alive between sessions</w:t>
      </w:r>
    </w:p>
    <w:p>
      <w:pPr>
        <w:spacing w:after="140" w:before="0" w:line="300"/>
      </w:pPr>
      <w:r>
        <w:rPr>
          <w:sz w:val="21"/>
          <w:szCs w:val="21"/>
        </w:rPr>
        <w:t xml:space="preserve">What you do:  Every conversation picks up the step agreed last time, asks what got in the way without making it a test, and ends with one new step small enough to actually happen - said by the learner, not by you.</w:t>
      </w:r>
    </w:p>
    <w:p>
      <w:pPr>
        <w:spacing w:after="140" w:before="0" w:line="300"/>
      </w:pPr>
      <w:r>
        <w:rPr>
          <w:color w:val="5A6473"/>
          <w:sz w:val="21"/>
          <w:szCs w:val="21"/>
        </w:rPr>
        <w:t xml:space="preserve">What it looks like when it is working:  Steps are being taken between sessions, and a learner who missed a week is picked up rather than restarted. The goal changes when it should, instead of being quietly abandoned.</w:t>
      </w:r>
    </w:p>
    <w:p>
      <w:pPr>
        <w:pStyle w:val="Heading4"/>
        <w:keepNext/>
        <w:spacing w:after="80" w:before="220"/>
      </w:pPr>
      <w:r>
        <w:rPr>
          <w:b/>
          <w:bCs/>
          <w:color w:val="1F3A5F"/>
          <w:sz w:val="24"/>
          <w:szCs w:val="24"/>
        </w:rPr>
        <w:t xml:space="preserve">4.  The capability a learner already has is recognised as capability</w:t>
      </w:r>
    </w:p>
    <w:p>
      <w:pPr>
        <w:spacing w:after="140" w:before="0" w:line="300"/>
      </w:pPr>
      <w:r>
        <w:rPr>
          <w:sz w:val="21"/>
          <w:szCs w:val="21"/>
        </w:rPr>
        <w:t xml:space="preserve">What you do:  Asking about a day rather than about the learner, catching what they actually did - caring for siblings, translating, earning, resolving a dispute - and naming it plainly, then naming it as the competency.</w:t>
      </w:r>
    </w:p>
    <w:p>
      <w:pPr>
        <w:spacing w:after="140" w:before="0" w:line="300"/>
      </w:pPr>
      <w:r>
        <w:rPr>
          <w:color w:val="5A6473"/>
          <w:sz w:val="21"/>
          <w:szCs w:val="21"/>
        </w:rPr>
        <w:t xml:space="preserve">What it looks like when it is working:  A learner counts something they did not count before, and the goals they set afterwards get more ambitious. You have evidence for the Set and Pursue Goals judgement that no workbook would show.</w:t>
      </w:r>
    </w:p>
    <w:p>
      <w:pPr>
        <w:pStyle w:val="Heading4"/>
        <w:keepNext/>
        <w:spacing w:after="80" w:before="220"/>
      </w:pPr>
      <w:r>
        <w:rPr>
          <w:b/>
          <w:bCs/>
          <w:color w:val="1F3A5F"/>
          <w:sz w:val="24"/>
          <w:szCs w:val="24"/>
        </w:rPr>
        <w:t xml:space="preserve">5.  What comes next stays honest and within reach</w:t>
      </w:r>
    </w:p>
    <w:p>
      <w:pPr>
        <w:spacing w:after="140" w:before="0" w:line="300"/>
      </w:pPr>
      <w:r>
        <w:rPr>
          <w:sz w:val="21"/>
          <w:szCs w:val="21"/>
        </w:rPr>
        <w:t xml:space="preserve">What you do:  Keeping pathways conversations on the next controllable step rather than on futures that are currently blocked, and - where a site can manage it - bringing an adult who matters into the picture through the optional three-way meeting.</w:t>
      </w:r>
    </w:p>
    <w:p>
      <w:pPr>
        <w:spacing w:after="140" w:before="0" w:line="300"/>
      </w:pPr>
      <w:r>
        <w:rPr>
          <w:color w:val="5A6473"/>
          <w:sz w:val="21"/>
          <w:szCs w:val="21"/>
        </w:rPr>
        <w:t xml:space="preserve">What it looks like when it is working:  A learner leaves the final conversation holding something they can act on, whatever the readiness decision was, rather than holding a verdict.</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Ongoing · about 10 minutes per learner, most weeks. It adds no hours of its own - it runs inside the in-person time the taught components already use.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all the opening needs.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next step after an absence is there to show the learner they are still in this, not to make progress.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Watch for it in the goals they set next, which often</w:t>
      </w:r>
    </w:p>
    <w:p>
      <w:pPr>
        <w:spacing w:after="140" w:before="0" w:line="300"/>
      </w:pPr>
      <w:r>
        <w:rPr>
          <w:sz w:val="22"/>
          <w:szCs w:val="22"/>
        </w:rPr>
        <w:t xml:space="preserve">get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Be specific rather than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That is not kindness. The promise comes due after you have stopped seeing them, and it teaches a learner that encouragement from adults is worth nothing.</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240" w:before="0" w:line="300"/>
      </w:pPr>
      <w:r>
        <w:rPr>
          <w:color w:val="5A6473"/>
          <w:sz w:val="23"/>
          <w:szCs w:val="23"/>
        </w:rPr>
        <w:t xml:space="preserve">Your judgement, across varied evidence, gathered as you teach - a supported judgement at Week 6 and a final one at Week 12.</w:t>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Assessment is your judgement across varied evidence - not a single test - and it is gathered as you teach.</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Where it is developed</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is how you track it.</w:t>
      </w:r>
    </w:p>
    <w:p>
      <w:pPr>
        <w:pStyle w:val="Heading3"/>
        <w:keepNext/>
        <w:spacing w:after="80" w:before="220"/>
      </w:pPr>
      <w:r>
        <w:rPr>
          <w:b/>
          <w:bCs/>
          <w:color w:val="1F3A5F"/>
          <w:sz w:val="24"/>
          <w:szCs w:val="24"/>
        </w:rPr>
        <w:t xml:space="preserve">What developing these two competencies gives a learner</w:t>
      </w:r>
    </w:p>
    <w:p>
      <w:pPr>
        <w:spacing w:after="140" w:before="0" w:line="300"/>
      </w:pPr>
      <w:r>
        <w:rPr>
          <w:sz w:val="22"/>
          <w:szCs w:val="22"/>
        </w:rPr>
        <w:t xml:space="preserve">These are the two you assess. They are not only hoops for the readiness decision - each one is a piece of the agency the whole programme is for.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bl>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weighing,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2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right for them.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gather evidence from across the whole component, the goals learners set and the steps they took (their workbook and action plans), what they say in the goal-pursuit check-ins and the final sharing, and how they have grown over time.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 knowing where they are now -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 the starting evidence for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 establishing clear objectives for their own learning and growth -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 the core of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 taking deliberate steps -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4"/>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 keeping progress on track over time -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 the full arc of FSL2.</w:t>
      </w:r>
    </w:p>
    <w:p>
      <w:pPr>
        <w:spacing w:after="140" w:before="0" w:line="300"/>
      </w:pPr>
      <w:r>
        <w:rPr>
          <w:color w:val="6E7A2E"/>
          <w:sz w:val="19"/>
          <w:szCs w:val="19"/>
        </w:rPr>
        <w:t xml:space="preserve">Also draws on:  FSL1 Self-reflection  ·  ASL1 Using feedback  ·  FPS1 Adaptable thinking</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 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100" w:before="0" w:line="300"/>
      </w:pPr>
      <w:r>
        <w:rPr>
          <w:b/>
          <w:bCs/>
          <w:color w:val="6E7A2E"/>
          <w:sz w:val="20"/>
          <w:szCs w:val="20"/>
        </w:rPr>
        <w:t xml:space="preserve">LEARNER SHEET:  Sheet 1, “Our four learning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4"/>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4"/>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4"/>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4"/>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4"/>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100" w:before="0" w:line="300"/>
      </w:pPr>
      <w:r>
        <w:rPr>
          <w:b/>
          <w:bCs/>
          <w:color w:val="6E7A2E"/>
          <w:sz w:val="20"/>
          <w:szCs w:val="20"/>
        </w:rPr>
        <w:t xml:space="preserve">LEARNER SHEET:  “My Learning Book - the cover”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4"/>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4"/>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is worth more than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spacing w:after="100" w:before="0" w:line="300"/>
      </w:pPr>
      <w:r>
        <w:rPr>
          <w:b/>
          <w:bCs/>
          <w:color w:val="6E7A2E"/>
          <w:sz w:val="20"/>
          <w:szCs w:val="20"/>
        </w:rPr>
        <w:t xml:space="preserve">LEARNER SHEET:  Sheet 3, “Why goals, and where am I now?”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4"/>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4"/>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4, “You can grow”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4"/>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4"/>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4"/>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4"/>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say plainly that the same thing will happen with the goal they are about to set.</w:t>
      </w:r>
    </w:p>
    <w:p>
      <w:pPr>
        <w:pStyle w:val="Heading4"/>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4"/>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5, “What I am good at”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4"/>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to widen the category, not to encourage.</w:t>
      </w:r>
    </w:p>
    <w:p>
      <w:pPr>
        <w:pStyle w:val="Heading4"/>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Describe what they did rather than praising them. Learners here are quick to brush praise aside, and a plain description is harder to argue with.</w:t>
      </w:r>
    </w:p>
    <w:p>
      <w:pPr>
        <w:pStyle w:val="Heading4"/>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4"/>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4"/>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4"/>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100" w:before="0" w:line="300"/>
      </w:pPr>
      <w:r>
        <w:rPr>
          <w:b/>
          <w:bCs/>
          <w:color w:val="6E7A2E"/>
          <w:sz w:val="20"/>
          <w:szCs w:val="20"/>
        </w:rPr>
        <w:t xml:space="preserve">LEARNER SHEET:  Sheet 7, “How I learn best”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4"/>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4"/>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4"/>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4"/>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100" w:before="0" w:line="300"/>
      </w:pPr>
      <w:r>
        <w:rPr>
          <w:b/>
          <w:bCs/>
          <w:color w:val="6E7A2E"/>
          <w:sz w:val="20"/>
          <w:szCs w:val="20"/>
        </w:rPr>
        <w:t xml:space="preserve">LEARNER SHEET:  Sheet 8, “Is my goal a good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rest of the component runs on the goal each learner sets here. If the goal is weak, a learner spends eight weeks failing at something they were never going to reach, and decides that was their fault. When a learner looks unmotivated in week nine, look back at the goal they set in week five.</w:t>
      </w:r>
    </w:p>
    <w:p>
      <w:pPr>
        <w:pStyle w:val="Heading4"/>
        <w:keepNext/>
        <w:spacing w:after="80" w:before="220"/>
      </w:pPr>
      <w:r>
        <w:rPr>
          <w:b/>
          <w:bCs/>
          <w:color w:val="1F3A5F"/>
          <w:sz w:val="24"/>
          <w:szCs w:val="24"/>
        </w:rPr>
        <w:t xml:space="preserve">The four tests, and what each one is for</w:t>
      </w:r>
    </w:p>
    <w:p>
      <w:pPr>
        <w:spacing w:after="140" w:before="0" w:line="300"/>
      </w:pPr>
      <w:r>
        <w:rPr>
          <w:sz w:val="22"/>
          <w:szCs w:val="22"/>
        </w:rPr>
        <w:t xml:space="preserve">1. Small enough to reach. Stops a learner setting an ambition instead of a goal. "Learn English" is a wish. "Say five true sentences about myself" is a goal. Ask: could you finish this in the weeks we have? 2. Clear enough to know when it is done. Stops a learner setting something they can never tick off. "Get better at reading" has no finish line. "Read the words on the shop signs near my shelter" does. Ask: how will you know? 3. It matters to you. Stops a learner setting the goal they think you want. This is the most common problem here, and the hardest to spot, because these goals sound good. 4. It has a by-when. Stops a learner setting something they never quite start. Ask: when will you have done it?</w:t>
      </w:r>
    </w:p>
    <w:p>
      <w:pPr>
        <w:pStyle w:val="Heading4"/>
        <w:keepNext/>
        <w:spacing w:after="80" w:before="220"/>
      </w:pPr>
      <w:r>
        <w:rPr>
          <w:b/>
          <w:bCs/>
          <w:color w:val="1F3A5F"/>
          <w:sz w:val="24"/>
          <w:szCs w:val="24"/>
        </w:rPr>
        <w:t xml:space="preserve">Watch for goals set to please you</w:t>
      </w:r>
    </w:p>
    <w:p>
      <w:pPr>
        <w:spacing w:after="140" w:before="0" w:line="300"/>
      </w:pPr>
      <w:r>
        <w:rPr>
          <w:sz w:val="22"/>
          <w:szCs w:val="22"/>
        </w:rPr>
        <w:t xml:space="preserve">Learners who have been in school know what adults want to hear. You will get "study hard every day" and "be a good student", said sincerely. They are not being dishonest. They are answering the question they think you asked.</w:t>
      </w:r>
    </w:p>
    <w:p>
      <w:pPr>
        <w:spacing w:after="140" w:before="0" w:line="300"/>
      </w:pPr>
      <w:r>
        <w:rPr>
          <w:sz w:val="22"/>
          <w:szCs w:val="22"/>
        </w:rPr>
        <w:t xml:space="preserve">You can tell because they cannot say why, or they say why in the same borrowed words. Ask "what would be different for you if you did that?" and listen for something specific. If nothing comes, the goal is not theirs yet. Do not accept a goal just because it sounds well-behaved.</w:t>
      </w:r>
    </w:p>
    <w:p>
      <w:pPr>
        <w:pStyle w:val="Heading4"/>
        <w:keepNext/>
        <w:spacing w:after="80" w:before="220"/>
      </w:pPr>
      <w:r>
        <w:rPr>
          <w:b/>
          <w:bCs/>
          <w:color w:val="1F3A5F"/>
          <w:sz w:val="24"/>
          <w:szCs w:val="24"/>
        </w:rPr>
        <w:t xml:space="preserve">Watch for goals that depend on other people</w:t>
      </w:r>
    </w:p>
    <w:p>
      <w:pPr>
        <w:spacing w:after="140" w:before="0" w:line="300"/>
      </w:pPr>
      <w:r>
        <w:rPr>
          <w:sz w:val="22"/>
          <w:szCs w:val="22"/>
        </w:rPr>
        <w:t xml:space="preserve">This edition keeps goal-setting to what a learner can actually control, and this is the block where you hold that line. "Get a place at the secondary school" depends on a decision someone else makes, so it cannot be their goal. "Be able to introduce myself in English" can be.</w:t>
      </w:r>
    </w:p>
    <w:p>
      <w:pPr>
        <w:spacing w:after="140" w:before="0" w:line="300"/>
      </w:pPr>
      <w:r>
        <w:rPr>
          <w:sz w:val="22"/>
          <w:szCs w:val="22"/>
        </w:rPr>
        <w:t xml:space="preserve">If a learner reaches for the blocked thing, do not correct them and do not pretend it is possible. Ask what the first step towards it would be that they could take themselves, and make that the goal.</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Nobody can judge their own goal at the start, so do not ask them to. Work in this order: learn the tests, judge examples that belong to nobody in the room, fix a weak one together, then look at their own rough goal. Going straight to their own goal is the most common way this block fails.</w:t>
      </w:r>
    </w:p>
    <w:p>
      <w:pPr>
        <w:spacing w:after="140" w:before="0" w:line="300"/>
      </w:pPr>
      <w:r>
        <w:rPr>
          <w:sz w:val="22"/>
          <w:szCs w:val="22"/>
        </w:rPr>
        <w:t xml:space="preserve">Use examples close to your learners' real lives rather than textbook ones. Include at least one that fails only one test. A goal that fails all four teaches nothing, because the answer is obvious.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looking at the page.</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together, out loud.</w:t>
      </w:r>
    </w:p>
    <w:p>
      <w:pPr>
        <w:pStyle w:val="ListParagraph"/>
        <w:numPr>
          <w:ilvl w:val="0"/>
          <w:numId w:val="1"/>
        </w:numPr>
        <w:spacing w:after="80" w:line="300"/>
      </w:pPr>
      <w:r>
        <w:rPr>
          <w:sz w:val="22"/>
          <w:szCs w:val="22"/>
        </w:rPr>
        <w:t xml:space="preserve">They have run the tests on one rough goal of their own. It does not have to be finished. They</w:t>
      </w:r>
    </w:p>
    <w:p>
      <w:pPr>
        <w:spacing w:after="140" w:before="0" w:line="300"/>
      </w:pPr>
      <w:r>
        <w:rPr>
          <w:sz w:val="22"/>
          <w:szCs w:val="22"/>
        </w:rPr>
        <w:t xml:space="preserve">choose their goal properly next session.</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100" w:before="0" w:line="300"/>
      </w:pPr>
      <w:r>
        <w:rPr>
          <w:b/>
          <w:bCs/>
          <w:color w:val="6E7A2E"/>
          <w:sz w:val="20"/>
          <w:szCs w:val="20"/>
        </w:rPr>
        <w:t xml:space="preserve">LEARNER SHEET:  Sheet 9, “My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4"/>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4"/>
        <w:keepNext/>
        <w:spacing w:after="80" w:before="220"/>
      </w:pPr>
      <w:r>
        <w:rPr>
          <w:b/>
          <w:bCs/>
          <w:color w:val="1F3A5F"/>
          <w:sz w:val="24"/>
          <w:szCs w:val="24"/>
        </w:rPr>
        <w:t xml:space="preserve">How to tell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4"/>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the learner owns is more use than a better one you chose for them. The whole component is about who decides.</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4"/>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A picture of yourself doing the thing is more motivating than a sentence about it, and it is what they will turn back to when a week goes badly.</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100" w:before="0" w:line="300"/>
      </w:pPr>
      <w:r>
        <w:rPr>
          <w:b/>
          <w:bCs/>
          <w:color w:val="6E7A2E"/>
          <w:sz w:val="20"/>
          <w:szCs w:val="20"/>
        </w:rPr>
        <w:t xml:space="preserve">LEARNER SHEET:  Sheet 10, “My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still a goal rather than a step.</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first step is there to show the learner they can get started. Making progress comes later.</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is worth more than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100" w:before="0" w:line="300"/>
      </w:pPr>
      <w:r>
        <w:rPr>
          <w:b/>
          <w:bCs/>
          <w:color w:val="6E7A2E"/>
          <w:sz w:val="20"/>
          <w:szCs w:val="20"/>
        </w:rPr>
        <w:t xml:space="preserve">LEARNER SHEET:  Sheet 11, “My action plan”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4"/>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4"/>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4"/>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4"/>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Accept them at that size. "If there is no light, then I will say my sentences out loud instead of writing them" is worth more than any amount of resolve.</w:t>
      </w:r>
    </w:p>
    <w:p>
      <w:pPr>
        <w:pStyle w:val="Heading4"/>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is worth more than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100" w:before="0" w:line="300"/>
      </w:pPr>
      <w:r>
        <w:rPr>
          <w:b/>
          <w:bCs/>
          <w:color w:val="6E7A2E"/>
          <w:sz w:val="20"/>
          <w:szCs w:val="20"/>
        </w:rPr>
        <w:t xml:space="preserve">LEARNER SHEET:  Sheet 12, “My time”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4"/>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4"/>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4"/>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may be the only slot that exists. Teach it as a first choice rather than a fallback.</w:t>
      </w:r>
    </w:p>
    <w:p>
      <w:pPr>
        <w:pStyle w:val="Heading4"/>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4"/>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4"/>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slot they actually keep is worth more than five they hope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is worth more than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100" w:before="0" w:line="300"/>
      </w:pPr>
      <w:r>
        <w:rPr>
          <w:b/>
          <w:bCs/>
          <w:color w:val="6E7A2E"/>
          <w:sz w:val="20"/>
          <w:szCs w:val="20"/>
        </w:rPr>
        <w:t xml:space="preserve">LEARNER SHEET:  Sheet 13, “Who and what can help 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4"/>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4"/>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4"/>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4"/>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4"/>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100" w:before="0" w:line="300"/>
      </w:pPr>
      <w:r>
        <w:rPr>
          <w:b/>
          <w:bCs/>
          <w:color w:val="6E7A2E"/>
          <w:sz w:val="20"/>
          <w:szCs w:val="20"/>
        </w:rPr>
        <w:t xml:space="preserve">LEARNER SHEET:  Sheet 15, “Feedback I got”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one change they actually make is worth more than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100" w:before="0" w:line="300"/>
      </w:pPr>
      <w:r>
        <w:rPr>
          <w:b/>
          <w:bCs/>
          <w:color w:val="6E7A2E"/>
          <w:sz w:val="20"/>
          <w:szCs w:val="20"/>
        </w:rPr>
        <w:t xml:space="preserve">LEARNER SHEET:  Sheet 16, “How I have grown”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4"/>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4"/>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4"/>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4"/>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4"/>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expect most learners to look low</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 check-in is worth more than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2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 the self-knowledge that all later participation and choice rests on.</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 meaningful words, places, and interests from their own lives -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 their name, where they are from, what they like, and what they are good at -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 start. You cannot improvise it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their name is the first lesson's content, not a courtesy.</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works better than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100" w:before="0" w:line="300"/>
      </w:pPr>
      <w:r>
        <w:rPr>
          <w:b/>
          <w:bCs/>
          <w:color w:val="6E7A2E"/>
          <w:sz w:val="20"/>
          <w:szCs w:val="20"/>
        </w:rPr>
        <w:t xml:space="preserve">LEARNER SHEET:  Sheet 1, “I can…”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4"/>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4"/>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4"/>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4"/>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4"/>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matters more than being perfect.</w:t>
      </w:r>
    </w:p>
    <w:p>
      <w:pPr>
        <w:spacing w:after="100" w:before="0" w:line="300"/>
      </w:pPr>
      <w:r>
        <w:rPr>
          <w:b/>
          <w:bCs/>
          <w:color w:val="6E7A2E"/>
          <w:sz w:val="20"/>
          <w:szCs w:val="20"/>
        </w:rPr>
        <w:t xml:space="preserve">LEARNER SHEET:  Sheet 4, “Our classroom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4"/>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4"/>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4"/>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4"/>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4"/>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which is exactly what the phrase is for.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100" w:before="0" w:line="300"/>
      </w:pPr>
      <w:r>
        <w:rPr>
          <w:b/>
          <w:bCs/>
          <w:color w:val="6E7A2E"/>
          <w:sz w:val="20"/>
          <w:szCs w:val="20"/>
        </w:rPr>
        <w:t xml:space="preserve">LEARNER SHEET:  “The "This book belongs to" page”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4"/>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4"/>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4"/>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4"/>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100" w:before="0" w:line="300"/>
      </w:pPr>
      <w:r>
        <w:rPr>
          <w:b/>
          <w:bCs/>
          <w:color w:val="6E7A2E"/>
          <w:sz w:val="20"/>
          <w:szCs w:val="20"/>
        </w:rPr>
        <w:t xml:space="preserve">LEARNER SHEET:  Sheet 5, “Listening: hello and names”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4"/>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4"/>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4"/>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4"/>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4"/>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100" w:before="0" w:line="300"/>
      </w:pPr>
      <w:r>
        <w:rPr>
          <w:b/>
          <w:bCs/>
          <w:color w:val="6E7A2E"/>
          <w:sz w:val="20"/>
          <w:szCs w:val="20"/>
        </w:rPr>
        <w:t xml:space="preserve">LEARNER SHEET:  Sheet 6, “My name”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4"/>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4"/>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4"/>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4"/>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4"/>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set out in the appendix. Follow it. Do not teach the alphabet A to Z, which front-loads difficult letters and delays the useful ones.</w:t>
      </w:r>
    </w:p>
    <w:p>
      <w:pPr>
        <w:pStyle w:val="Heading4"/>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works better than one long session. Open most later sessions with three minutes on sounds already met. A sound met once is a sound lost.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100" w:before="0" w:line="300"/>
      </w:pPr>
      <w:r>
        <w:rPr>
          <w:b/>
          <w:bCs/>
          <w:color w:val="6E7A2E"/>
          <w:sz w:val="20"/>
          <w:szCs w:val="20"/>
        </w:rPr>
        <w:t xml:space="preserve">LEARNER SHEET:  Sheet 7, “My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4"/>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4"/>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4"/>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4"/>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4"/>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4"/>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100" w:before="0" w:line="300"/>
      </w:pPr>
      <w:r>
        <w:rPr>
          <w:b/>
          <w:bCs/>
          <w:color w:val="6E7A2E"/>
          <w:sz w:val="20"/>
          <w:szCs w:val="20"/>
        </w:rPr>
        <w:t xml:space="preserve">LEARNER SHEET:  Sheet 8, “Building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4"/>
        <w:keepNext/>
        <w:spacing w:after="80" w:before="220"/>
      </w:pPr>
      <w:r>
        <w:rPr>
          <w:b/>
          <w:bCs/>
          <w:color w:val="1F3A5F"/>
          <w:sz w:val="24"/>
          <w:szCs w:val="24"/>
        </w:rPr>
        <w:t xml:space="preserve">Space the practice out. This is the biggest single lever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4"/>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4"/>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4"/>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100" w:before="0" w:line="300"/>
      </w:pPr>
      <w:r>
        <w:rPr>
          <w:b/>
          <w:bCs/>
          <w:color w:val="6E7A2E"/>
          <w:sz w:val="20"/>
          <w:szCs w:val="20"/>
        </w:rPr>
        <w:t xml:space="preserve">LEARNER SHEET:  Sheet 9, “Words about 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4"/>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4"/>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4"/>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4"/>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4"/>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100" w:before="0" w:line="300"/>
      </w:pPr>
      <w:r>
        <w:rPr>
          <w:b/>
          <w:bCs/>
          <w:color w:val="6E7A2E"/>
          <w:sz w:val="20"/>
          <w:szCs w:val="20"/>
        </w:rPr>
        <w:t xml:space="preserve">LEARNER SHEET:  Sheet 10, “My writing practice”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4"/>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4"/>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4"/>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4"/>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4"/>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100" w:before="0" w:line="300"/>
      </w:pPr>
      <w:r>
        <w:rPr>
          <w:b/>
          <w:bCs/>
          <w:color w:val="6E7A2E"/>
          <w:sz w:val="20"/>
          <w:szCs w:val="20"/>
        </w:rPr>
        <w:t xml:space="preserve">LEARNER SHEET:  Sheet 11, “I can say who I am”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4"/>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4"/>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4"/>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4"/>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4"/>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4"/>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100" w:before="0" w:line="300"/>
      </w:pPr>
      <w:r>
        <w:rPr>
          <w:b/>
          <w:bCs/>
          <w:color w:val="6E7A2E"/>
          <w:sz w:val="20"/>
          <w:szCs w:val="20"/>
        </w:rPr>
        <w:t xml:space="preserve">LEARNER SHEET:  Sheet 12, “Building sentences”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4"/>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4"/>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4"/>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4"/>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so they can hold a real conversation.</w:t>
      </w:r>
    </w:p>
    <w:p>
      <w:pPr>
        <w:pStyle w:val="Heading4"/>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4"/>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100" w:before="0" w:line="300"/>
      </w:pPr>
      <w:r>
        <w:rPr>
          <w:b/>
          <w:bCs/>
          <w:color w:val="6E7A2E"/>
          <w:sz w:val="20"/>
          <w:szCs w:val="20"/>
        </w:rPr>
        <w:t xml:space="preserve">LEARNER SHEET:  Sheet 13, “Meeting people”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4"/>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4"/>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4"/>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4"/>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4"/>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4"/>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100" w:before="0" w:line="300"/>
      </w:pPr>
      <w:r>
        <w:rPr>
          <w:b/>
          <w:bCs/>
          <w:color w:val="6E7A2E"/>
          <w:sz w:val="20"/>
          <w:szCs w:val="20"/>
        </w:rPr>
        <w:t xml:space="preserve">LEARNER SHEET:  Sheet 14, “Writing a little about myself”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4"/>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4"/>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4"/>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If you do, you will get shorter, safer sentences from then on. Note what to recycle.</w:t>
      </w:r>
    </w:p>
    <w:p>
      <w:pPr>
        <w:pStyle w:val="Heading4"/>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4"/>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100" w:before="0" w:line="300"/>
      </w:pPr>
      <w:r>
        <w:rPr>
          <w:b/>
          <w:bCs/>
          <w:color w:val="6E7A2E"/>
          <w:sz w:val="20"/>
          <w:szCs w:val="20"/>
        </w:rPr>
        <w:t xml:space="preserve">LEARNER SHEET:  Sheet 16, “My Name, My Voice”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4"/>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4"/>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4"/>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4"/>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4"/>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4"/>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2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which is fine.</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 and it builds the capability to shape their own future pathways. Research is where agency begins.</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 turning a broad, real-world concern into a focused question that research can actually answer -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4"/>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 actually conducting primary and secondary research -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4"/>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 moving from raw data to insight -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4"/>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 making insight usable by others -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spacing w:after="100" w:before="0" w:line="300"/>
      </w:pPr>
      <w:r>
        <w:rPr>
          <w:b/>
          <w:bCs/>
          <w:color w:val="6E7A2E"/>
          <w:sz w:val="20"/>
          <w:szCs w:val="20"/>
        </w:rPr>
        <w:t xml:space="preserve">LEARNER SHEET:  Sheet 1, “My research book - cover and how I use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4"/>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4"/>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100" w:before="0" w:line="300"/>
      </w:pPr>
      <w:r>
        <w:rPr>
          <w:b/>
          <w:bCs/>
          <w:color w:val="6E7A2E"/>
          <w:sz w:val="20"/>
          <w:szCs w:val="20"/>
        </w:rPr>
        <w:t xml:space="preserve">LEARNER SHEET:  Sheet 2, “My first thoughts about our hills”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4"/>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4"/>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4"/>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4"/>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4"/>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100" w:before="0" w:line="300"/>
      </w:pPr>
      <w:r>
        <w:rPr>
          <w:b/>
          <w:bCs/>
          <w:color w:val="6E7A2E"/>
          <w:sz w:val="20"/>
          <w:szCs w:val="20"/>
        </w:rPr>
        <w:t xml:space="preserve">LEARNER SHEET:  Sheet 3, “Where I am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4"/>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100" w:before="0" w:line="300"/>
      </w:pPr>
      <w:r>
        <w:rPr>
          <w:b/>
          <w:bCs/>
          <w:color w:val="6E7A2E"/>
          <w:sz w:val="20"/>
          <w:szCs w:val="20"/>
        </w:rPr>
        <w:t xml:space="preserve">LEARNER SHEET:  Sheet 4, “What we know / what we want to find out”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4"/>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4"/>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4"/>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4"/>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100" w:before="0" w:line="300"/>
      </w:pPr>
      <w:r>
        <w:rPr>
          <w:b/>
          <w:bCs/>
          <w:color w:val="6E7A2E"/>
          <w:sz w:val="20"/>
          <w:szCs w:val="20"/>
        </w:rPr>
        <w:t xml:space="preserve">LEARNER SHEET:  Sheet 5, “Our community map”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4"/>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4"/>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4"/>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4"/>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100" w:before="0" w:line="300"/>
      </w:pPr>
      <w:r>
        <w:rPr>
          <w:b/>
          <w:bCs/>
          <w:color w:val="6E7A2E"/>
          <w:sz w:val="20"/>
          <w:szCs w:val="20"/>
        </w:rPr>
        <w:t xml:space="preserve">LEARNER SHEET:  Sheet 6, “Our research question and our four sub-questions”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4"/>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4"/>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4"/>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4"/>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100" w:before="0" w:line="300"/>
      </w:pPr>
      <w:r>
        <w:rPr>
          <w:b/>
          <w:bCs/>
          <w:color w:val="6E7A2E"/>
          <w:sz w:val="20"/>
          <w:szCs w:val="20"/>
        </w:rPr>
        <w:t xml:space="preserve">LEARNER SHEET:  Sheet 7, “Asking permission - our reminder”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The problem is pressing, not consent: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covers honesty with the evidence as well as protection: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all they need before they go.</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spacing w:after="100" w:before="0" w:line="300"/>
      </w:pPr>
      <w:r>
        <w:rPr>
          <w:b/>
          <w:bCs/>
          <w:color w:val="6E7A2E"/>
          <w:sz w:val="20"/>
          <w:szCs w:val="20"/>
        </w:rPr>
        <w:t xml:space="preserve">LEARNER SHEET:  Sheet 8, “Our questions to ask”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A handful of good questions is worth more than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spacing w:after="100" w:before="0" w:line="300"/>
      </w:pPr>
      <w:r>
        <w:rPr>
          <w:b/>
          <w:bCs/>
          <w:color w:val="6E7A2E"/>
          <w:sz w:val="20"/>
          <w:szCs w:val="20"/>
        </w:rPr>
        <w:t xml:space="preserve">LEARNER SHEET:  Sheet 9, “Are we ready to go?”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usable evidence, and it is where the three follow-ups are needed.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100" w:before="0" w:line="300"/>
      </w:pPr>
      <w:r>
        <w:rPr>
          <w:b/>
          <w:bCs/>
          <w:color w:val="6E7A2E"/>
          <w:sz w:val="20"/>
          <w:szCs w:val="20"/>
        </w:rPr>
        <w:t xml:space="preserve">LEARNER SHEET:  Sheet 10, “What our sources tell us - evidence log”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4"/>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4"/>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4"/>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4"/>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4"/>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100" w:before="0" w:line="300"/>
      </w:pPr>
      <w:r>
        <w:rPr>
          <w:b/>
          <w:bCs/>
          <w:color w:val="6E7A2E"/>
          <w:sz w:val="20"/>
          <w:szCs w:val="20"/>
        </w:rPr>
        <w:t xml:space="preserve">LEARNER SHEET:  Sheet 11, “What I found when I asked and looked”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4"/>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4"/>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4"/>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4"/>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4"/>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3"/>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100" w:before="0" w:line="300"/>
      </w:pPr>
      <w:r>
        <w:rPr>
          <w:b/>
          <w:bCs/>
          <w:color w:val="6E7A2E"/>
          <w:sz w:val="20"/>
          <w:szCs w:val="20"/>
        </w:rPr>
        <w:t xml:space="preserve">LEARNER SHEET:  Sheet 12, “Can we trust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one you check against another, not a worthless one.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Watch for "official" being read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Watch for the opposite problem</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100" w:before="0" w:line="300"/>
      </w:pPr>
      <w:r>
        <w:rPr>
          <w:b/>
          <w:bCs/>
          <w:color w:val="6E7A2E"/>
          <w:sz w:val="20"/>
          <w:szCs w:val="20"/>
        </w:rPr>
        <w:t xml:space="preserve">LEARNER SHEET:  Sheet 13, “Our themes - what keeps coming up”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100" w:before="0" w:line="300"/>
      </w:pPr>
      <w:r>
        <w:rPr>
          <w:b/>
          <w:bCs/>
          <w:color w:val="6E7A2E"/>
          <w:sz w:val="20"/>
          <w:szCs w:val="20"/>
        </w:rPr>
        <w:t xml:space="preserve">LEARNER SHEET:  Sheet 14, “Dig for the root cause”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is better than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a midpoint, not a root cause.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spacing w:after="100" w:before="0" w:line="300"/>
      </w:pPr>
      <w:r>
        <w:rPr>
          <w:b/>
          <w:bCs/>
          <w:color w:val="6E7A2E"/>
          <w:sz w:val="20"/>
          <w:szCs w:val="20"/>
        </w:rPr>
        <w:t xml:space="preserve">LEARNER SHEET:  Sheet 15, “Looking deeper - power, beliefs, who is helped and hurt”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Watch for it becoming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Ask partly so that learners see they have power here too.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100" w:before="0" w:line="300"/>
      </w:pPr>
      <w:r>
        <w:rPr>
          <w:b/>
          <w:bCs/>
          <w:color w:val="6E7A2E"/>
          <w:sz w:val="20"/>
          <w:szCs w:val="20"/>
        </w:rPr>
        <w:t xml:space="preserve">LEARNER SHEET:  Sheet 16, “Our insights - what we found and why it matters”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Give learners that as the test.</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100" w:before="0" w:line="300"/>
      </w:pPr>
      <w:r>
        <w:rPr>
          <w:b/>
          <w:bCs/>
          <w:color w:val="6E7A2E"/>
          <w:sz w:val="20"/>
          <w:szCs w:val="20"/>
        </w:rPr>
        <w:t xml:space="preserve">LEARNER SHEET:  Sheet 17, “Who we will tell, and how - our plan”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4"/>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4"/>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4"/>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and the wall are the real list, and they are enough.</w:t>
      </w:r>
    </w:p>
    <w:p>
      <w:pPr>
        <w:pStyle w:val="Heading4"/>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4"/>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100" w:before="0" w:line="300"/>
      </w:pPr>
      <w:r>
        <w:rPr>
          <w:b/>
          <w:bCs/>
          <w:color w:val="6E7A2E"/>
          <w:sz w:val="20"/>
          <w:szCs w:val="20"/>
        </w:rPr>
        <w:t xml:space="preserve">LEARNER SHEET:  Sheet 18, “Building our output - our main message and our evidence”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4"/>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4"/>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4"/>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4"/>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100" w:before="0" w:line="300"/>
      </w:pPr>
      <w:r>
        <w:rPr>
          <w:b/>
          <w:bCs/>
          <w:color w:val="6E7A2E"/>
          <w:sz w:val="20"/>
          <w:szCs w:val="20"/>
        </w:rPr>
        <w:t xml:space="preserve">LEARNER SHEET:  Sheet 19, “How I have grown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4"/>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4"/>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4"/>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4"/>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4"/>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0" w:line="300"/>
      </w:pPr>
      <w:r>
        <w:rPr>
          <w:b/>
          <w:bCs/>
          <w:color w:val="6E7A2E"/>
          <w:sz w:val="24"/>
          <w:szCs w:val="24"/>
        </w:rPr>
        <w:t xml:space="preserve">PART 7</w:t>
      </w:r>
    </w:p>
    <w:p>
      <w:pPr>
        <w:pStyle w:val="Heading1"/>
        <w:spacing w:after="120"/>
      </w:pPr>
      <w:r>
        <w:rPr>
          <w:b/>
          <w:bCs/>
          <w:color w:val="1F3A5F"/>
          <w:sz w:val="44"/>
          <w:szCs w:val="44"/>
        </w:rPr>
        <w:t xml:space="preserve">Part 7 - The learner books - where they are, and what to print</w:t>
      </w:r>
    </w:p>
    <w:p>
      <w:pPr>
        <w:spacing w:after="240" w:before="0" w:line="300"/>
      </w:pPr>
      <w:r>
        <w:rPr>
          <w:color w:val="5A6473"/>
          <w:sz w:val="23"/>
          <w:szCs w:val="23"/>
        </w:rPr>
        <w:t xml:space="preserve">The books are separate files, not reproduced here. This says which one is which, and how the plan points into them.</w:t>
      </w:r>
    </w:p>
    <w:p>
      <w:pPr>
        <w:spacing w:after="140" w:before="0" w:line="300"/>
      </w:pPr>
      <w:r>
        <w:rPr>
          <w:sz w:val="22"/>
          <w:szCs w:val="22"/>
        </w:rPr>
        <w:t xml:space="preserve">Each learner needs their own book. The books are separate downloads, in the same place you got this guide - they are not printed inside it, because you deliver from this guide and you only ever print those.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The file</w:t>
            </w:r>
          </w:p>
        </w:tc>
        <w:tc>
          <w:tcPr>
            <w:tcW w:type="dxa" w:w="6382"/>
            <w:tcMar>
              <w:top w:type="dxa" w:w="70"/>
              <w:left w:type="dxa" w:w="130"/>
              <w:bottom w:type="dxa" w:w="70"/>
              <w:right w:type="dxa" w:w="130"/>
            </w:tcMar>
          </w:tcPr>
          <w:p>
            <w:pPr>
              <w:spacing w:line="260"/>
            </w:pPr>
            <w:r>
              <w:rPr>
                <w:b/>
                <w:bCs/>
                <w:color w:val="1F3A5F"/>
                <w:sz w:val="19"/>
                <w:szCs w:val="19"/>
              </w:rPr>
              <w:t xml:space="preserve">What is in it</w:t>
            </w:r>
          </w:p>
        </w:tc>
      </w:tr>
      <w:tr>
        <w:tc>
          <w:tcPr>
            <w:tcW w:type="dxa" w:w="2687"/>
            <w:tcMar>
              <w:top w:type="dxa" w:w="70"/>
              <w:left w:type="dxa" w:w="130"/>
              <w:bottom w:type="dxa" w:w="70"/>
              <w:right w:type="dxa" w:w="130"/>
            </w:tcMar>
          </w:tcPr>
          <w:p>
            <w:pPr>
              <w:spacing w:line="260"/>
            </w:pPr>
            <w:r>
              <w:rPr>
                <w:b/>
                <w:bCs/>
                <w:color w:val="7A3B69"/>
                <w:sz w:val="19"/>
                <w:szCs w:val="19"/>
              </w:rPr>
              <w:t xml:space="preserve">Student Workbook - the whole programme in one book</w:t>
            </w:r>
          </w:p>
          <w:p>
            <w:pPr>
              <w:spacing w:line="260"/>
            </w:pPr>
            <w:r>
              <w:rPr>
                <w:b/>
                <w:bCs/>
                <w:color w:val="7A3B69"/>
                <w:sz w:val="19"/>
                <w:szCs w:val="19"/>
              </w:rPr>
              <w:t xml:space="preserve">(lb-coxs-bazar-student-workbook.docx)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All three learner books in one, plus the mentoring page and the growth self-check. ONE print job per learner for the whole twelve weeks. Print this, or the three separate books below - not both.</w:t>
            </w:r>
          </w:p>
        </w:tc>
      </w:tr>
      <w:tr>
        <w:tc>
          <w:tcPr>
            <w:tcW w:type="dxa" w:w="2687"/>
            <w:tcMar>
              <w:top w:type="dxa" w:w="70"/>
              <w:left w:type="dxa" w:w="130"/>
              <w:bottom w:type="dxa" w:w="70"/>
              <w:right w:type="dxa" w:w="130"/>
            </w:tcMar>
          </w:tcPr>
          <w:p>
            <w:pPr>
              <w:spacing w:line="260"/>
            </w:pPr>
            <w:r>
              <w:rPr>
                <w:b/>
                <w:bCs/>
                <w:color w:val="7A3B69"/>
                <w:sz w:val="19"/>
                <w:szCs w:val="19"/>
              </w:rPr>
              <w:t xml:space="preserve">My Learning Book</w:t>
            </w:r>
          </w:p>
          <w:p>
            <w:pPr>
              <w:spacing w:line="260"/>
            </w:pPr>
            <w:r>
              <w:rPr>
                <w:b/>
                <w:bCs/>
                <w:color w:val="7A3B69"/>
                <w:sz w:val="19"/>
                <w:szCs w:val="19"/>
              </w:rPr>
              <w:t xml:space="preserve">(agency-in-learning-student-workbook.docx)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the Learn it pages, the Learner Profile, the goal, the plan, the weekly steps and the growth pages. Most of your Set and Pursue Goals evidence comes from here.</w:t>
            </w:r>
          </w:p>
        </w:tc>
      </w:tr>
      <w:tr>
        <w:tc>
          <w:tcPr>
            <w:tcW w:type="dxa" w:w="2687"/>
            <w:tcMar>
              <w:top w:type="dxa" w:w="70"/>
              <w:left w:type="dxa" w:w="130"/>
              <w:bottom w:type="dxa" w:w="70"/>
              <w:right w:type="dxa" w:w="130"/>
            </w:tcMar>
          </w:tcPr>
          <w:p>
            <w:pPr>
              <w:spacing w:line="260"/>
            </w:pPr>
            <w:r>
              <w:rPr>
                <w:b/>
                <w:bCs/>
                <w:color w:val="7A3B69"/>
                <w:sz w:val="19"/>
                <w:szCs w:val="19"/>
              </w:rPr>
              <w:t xml:space="preserve">My Voice book</w:t>
            </w:r>
          </w:p>
          <w:p>
            <w:pPr>
              <w:spacing w:line="260"/>
            </w:pPr>
            <w:r>
              <w:rPr>
                <w:b/>
                <w:bCs/>
                <w:color w:val="7A3B69"/>
                <w:sz w:val="19"/>
                <w:szCs w:val="19"/>
              </w:rPr>
              <w:t xml:space="preserve">(my-voice-student-workbook.docx)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English: the "I can…" check, the name and sound pages, the word collection, the sentence frames, the practice weeks and the My Name My Voice card.</w:t>
            </w:r>
          </w:p>
        </w:tc>
      </w:tr>
      <w:tr>
        <w:tc>
          <w:tcPr>
            <w:tcW w:type="dxa" w:w="2687"/>
            <w:tcMar>
              <w:top w:type="dxa" w:w="70"/>
              <w:left w:type="dxa" w:w="130"/>
              <w:bottom w:type="dxa" w:w="70"/>
              <w:right w:type="dxa" w:w="130"/>
            </w:tcMar>
          </w:tcPr>
          <w:p>
            <w:pPr>
              <w:spacing w:line="260"/>
            </w:pPr>
            <w:r>
              <w:rPr>
                <w:b/>
                <w:bCs/>
                <w:color w:val="7A3B69"/>
                <w:sz w:val="19"/>
                <w:szCs w:val="19"/>
              </w:rPr>
              <w:t xml:space="preserve">Our Research Book</w:t>
            </w:r>
          </w:p>
          <w:p>
            <w:pPr>
              <w:spacing w:line="260"/>
            </w:pPr>
            <w:r>
              <w:rPr>
                <w:b/>
                <w:bCs/>
                <w:color w:val="7A3B69"/>
                <w:sz w:val="19"/>
                <w:szCs w:val="19"/>
              </w:rPr>
              <w:t xml:space="preserve">(research-project-student-workbook.docx)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the Learn it pages, the source cards learners read, the evidence log, the gathering pages and the analysis pages.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HOW THE PLAN POINTS INTO THEM</w:t>
            </w:r>
          </w:p>
          <w:p>
            <w:pPr>
              <w:spacing w:after="90" w:before="0" w:line="300"/>
            </w:pPr>
            <w:r>
              <w:rPr>
                <w:sz w:val="21"/>
                <w:szCs w:val="21"/>
              </w:rPr>
              <w:t xml:space="preserve">Every block in Parts 4 to 6 that has a learner sheet names it like this: LEARNER SHEET: Sheet 7, "My steps".</w:t>
            </w:r>
          </w:p>
          <w:p>
            <w:pPr>
              <w:spacing w:after="90" w:before="0" w:line="300"/>
            </w:pPr>
            <w:r>
              <w:rPr>
                <w:sz w:val="21"/>
                <w:szCs w:val="21"/>
              </w:rPr>
              <w:t xml:space="preserve">Each learner book opens with "The sheets in this book" - a numbered list. Say the number, and learners can find it.</w:t>
            </w:r>
          </w:p>
          <w:p>
            <w:pPr>
              <w:spacing w:after="0" w:before="0" w:line="300"/>
            </w:pPr>
            <w:r>
              <w:rPr>
                <w:sz w:val="21"/>
                <w:szCs w:val="21"/>
              </w:rPr>
              <w:t xml:space="preserve">Sheet numbers are used rather than page numbers on purpose. The books are separate files, so Word cannot cross-reference into them - and every file here is yours to edit, so a page number would break the first time you cut a page. A sheet number survives that.</w:t>
            </w:r>
          </w:p>
        </w:tc>
      </w:tr>
    </w:tbl>
    <w:p>
      <w:pPr>
        <w:spacing w:after="140" w:before="0" w:line="300"/>
      </w:pPr>
      <w:r>
        <w:rPr>
          <w:b/>
          <w:bCs/>
          <w:color w:val="5A6473"/>
          <w:sz w:val="21"/>
          <w:szCs w:val="21"/>
        </w:rPr>
        <w:t xml:space="preserve">If you cut sheets from a learner book, the numbers of the sheets after it will shift. Renumber "The sheets in this book" at the front if you do, or tell learners which sheets you removed.</w:t>
      </w:r>
    </w:p>
    <w:p>
      <w:r>
        <w:br w:type="page"/>
      </w:r>
    </w:p>
    <w:p>
      <w:pPr>
        <w:spacing w:after="60" w:before="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240" w:before="0" w:line="300"/>
      </w:pPr>
      <w:r>
        <w:rPr>
          <w:color w:val="5A6473"/>
          <w:sz w:val="23"/>
          <w:szCs w:val="23"/>
        </w:rPr>
        <w:t xml:space="preserve">One set per group. Print on the heaviest paper you have, cut along the lines, and keep each set together.</w:t>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1F3A5F"/>
                <w:sz w:val="56"/>
                <w:szCs w:val="56"/>
              </w:rPr>
              <w:t xml:space="preserve">A a</w:t>
            </w:r>
          </w:p>
        </w:tc>
        <w:tc>
          <w:tcPr>
            <w:tcW w:type="dxa" w:w="2700"/>
            <w:vAlign w:val="center"/>
          </w:tcPr>
          <w:p>
            <w:pPr>
              <w:jc w:val="center"/>
            </w:pPr>
            <w:r>
              <w:rPr>
                <w:b/>
                <w:bCs/>
                <w:color w:val="1F3A5F"/>
                <w:sz w:val="56"/>
                <w:szCs w:val="56"/>
              </w:rPr>
              <w:t xml:space="preserve">B b</w:t>
            </w:r>
          </w:p>
        </w:tc>
        <w:tc>
          <w:tcPr>
            <w:tcW w:type="dxa" w:w="2700"/>
            <w:vAlign w:val="center"/>
          </w:tcPr>
          <w:p>
            <w:pPr>
              <w:jc w:val="center"/>
            </w:pPr>
            <w:r>
              <w:rPr>
                <w:b/>
                <w:bCs/>
                <w:color w:val="1F3A5F"/>
                <w:sz w:val="56"/>
                <w:szCs w:val="56"/>
              </w:rPr>
              <w:t xml:space="preserve">C c</w:t>
            </w:r>
          </w:p>
        </w:tc>
        <w:tc>
          <w:tcPr>
            <w:tcW w:type="dxa" w:w="2700"/>
            <w:vAlign w:val="center"/>
          </w:tcPr>
          <w:p>
            <w:pPr>
              <w:jc w:val="center"/>
            </w:pPr>
            <w:r>
              <w:rPr>
                <w:b/>
                <w:bCs/>
                <w:color w:val="1F3A5F"/>
                <w:sz w:val="56"/>
                <w:szCs w:val="56"/>
              </w:rPr>
              <w:t xml:space="preserve">D d</w:t>
            </w:r>
          </w:p>
        </w:tc>
      </w:tr>
      <w:tr>
        <w:trPr>
          <w:trHeight w:val="1500" w:hRule="atLeast"/>
        </w:trPr>
        <w:tc>
          <w:tcPr>
            <w:tcW w:type="dxa" w:w="2700"/>
            <w:vAlign w:val="center"/>
          </w:tcPr>
          <w:p>
            <w:pPr>
              <w:jc w:val="center"/>
            </w:pPr>
            <w:r>
              <w:rPr>
                <w:b/>
                <w:bCs/>
                <w:color w:val="1F3A5F"/>
                <w:sz w:val="56"/>
                <w:szCs w:val="56"/>
              </w:rPr>
              <w:t xml:space="preserve">E e</w:t>
            </w:r>
          </w:p>
        </w:tc>
        <w:tc>
          <w:tcPr>
            <w:tcW w:type="dxa" w:w="2700"/>
            <w:vAlign w:val="center"/>
          </w:tcPr>
          <w:p>
            <w:pPr>
              <w:jc w:val="center"/>
            </w:pPr>
            <w:r>
              <w:rPr>
                <w:b/>
                <w:bCs/>
                <w:color w:val="1F3A5F"/>
                <w:sz w:val="56"/>
                <w:szCs w:val="56"/>
              </w:rPr>
              <w:t xml:space="preserve">F f</w:t>
            </w:r>
          </w:p>
        </w:tc>
        <w:tc>
          <w:tcPr>
            <w:tcW w:type="dxa" w:w="2700"/>
            <w:vAlign w:val="center"/>
          </w:tcPr>
          <w:p>
            <w:pPr>
              <w:jc w:val="center"/>
            </w:pPr>
            <w:r>
              <w:rPr>
                <w:b/>
                <w:bCs/>
                <w:color w:val="1F3A5F"/>
                <w:sz w:val="56"/>
                <w:szCs w:val="56"/>
              </w:rPr>
              <w:t xml:space="preserve">G g</w:t>
            </w:r>
          </w:p>
        </w:tc>
        <w:tc>
          <w:tcPr>
            <w:tcW w:type="dxa" w:w="2700"/>
            <w:vAlign w:val="center"/>
          </w:tcPr>
          <w:p>
            <w:pPr>
              <w:jc w:val="center"/>
            </w:pPr>
            <w:r>
              <w:rPr>
                <w:b/>
                <w:bCs/>
                <w:color w:val="1F3A5F"/>
                <w:sz w:val="56"/>
                <w:szCs w:val="56"/>
              </w:rPr>
              <w:t xml:space="preserve">H h</w:t>
            </w:r>
          </w:p>
        </w:tc>
      </w:tr>
      <w:tr>
        <w:trPr>
          <w:trHeight w:val="1500" w:hRule="atLeast"/>
        </w:trPr>
        <w:tc>
          <w:tcPr>
            <w:tcW w:type="dxa" w:w="2700"/>
            <w:vAlign w:val="center"/>
          </w:tcPr>
          <w:p>
            <w:pPr>
              <w:jc w:val="center"/>
            </w:pPr>
            <w:r>
              <w:rPr>
                <w:b/>
                <w:bCs/>
                <w:color w:val="1F3A5F"/>
                <w:sz w:val="56"/>
                <w:szCs w:val="56"/>
              </w:rPr>
              <w:t xml:space="preserve">I i</w:t>
            </w:r>
          </w:p>
        </w:tc>
        <w:tc>
          <w:tcPr>
            <w:tcW w:type="dxa" w:w="2700"/>
            <w:vAlign w:val="center"/>
          </w:tcPr>
          <w:p>
            <w:pPr>
              <w:jc w:val="center"/>
            </w:pPr>
            <w:r>
              <w:rPr>
                <w:b/>
                <w:bCs/>
                <w:color w:val="1F3A5F"/>
                <w:sz w:val="56"/>
                <w:szCs w:val="56"/>
              </w:rPr>
              <w:t xml:space="preserve">J j</w:t>
            </w:r>
          </w:p>
        </w:tc>
        <w:tc>
          <w:tcPr>
            <w:tcW w:type="dxa" w:w="2700"/>
            <w:vAlign w:val="center"/>
          </w:tcPr>
          <w:p>
            <w:pPr>
              <w:jc w:val="center"/>
            </w:pPr>
            <w:r>
              <w:rPr>
                <w:b/>
                <w:bCs/>
                <w:color w:val="1F3A5F"/>
                <w:sz w:val="56"/>
                <w:szCs w:val="56"/>
              </w:rPr>
              <w:t xml:space="preserve">K k</w:t>
            </w:r>
          </w:p>
        </w:tc>
        <w:tc>
          <w:tcPr>
            <w:tcW w:type="dxa" w:w="2700"/>
            <w:vAlign w:val="center"/>
          </w:tcPr>
          <w:p>
            <w:pPr>
              <w:jc w:val="center"/>
            </w:pPr>
            <w:r>
              <w:rPr>
                <w:b/>
                <w:bCs/>
                <w:color w:val="1F3A5F"/>
                <w:sz w:val="56"/>
                <w:szCs w:val="56"/>
              </w:rPr>
              <w:t xml:space="preserve">L l</w:t>
            </w:r>
          </w:p>
        </w:tc>
      </w:tr>
      <w:tr>
        <w:trPr>
          <w:trHeight w:val="1500" w:hRule="atLeast"/>
        </w:trPr>
        <w:tc>
          <w:tcPr>
            <w:tcW w:type="dxa" w:w="2700"/>
            <w:vAlign w:val="center"/>
          </w:tcPr>
          <w:p>
            <w:pPr>
              <w:jc w:val="center"/>
            </w:pPr>
            <w:r>
              <w:rPr>
                <w:b/>
                <w:bCs/>
                <w:color w:val="1F3A5F"/>
                <w:sz w:val="56"/>
                <w:szCs w:val="56"/>
              </w:rPr>
              <w:t xml:space="preserve">M m</w:t>
            </w:r>
          </w:p>
        </w:tc>
        <w:tc>
          <w:tcPr>
            <w:tcW w:type="dxa" w:w="2700"/>
            <w:vAlign w:val="center"/>
          </w:tcPr>
          <w:p>
            <w:pPr>
              <w:jc w:val="center"/>
            </w:pPr>
            <w:r>
              <w:rPr>
                <w:b/>
                <w:bCs/>
                <w:color w:val="1F3A5F"/>
                <w:sz w:val="56"/>
                <w:szCs w:val="56"/>
              </w:rPr>
              <w:t xml:space="preserve">N n</w:t>
            </w:r>
          </w:p>
        </w:tc>
        <w:tc>
          <w:tcPr>
            <w:tcW w:type="dxa" w:w="2700"/>
            <w:vAlign w:val="center"/>
          </w:tcPr>
          <w:p>
            <w:pPr>
              <w:jc w:val="center"/>
            </w:pPr>
            <w:r>
              <w:rPr>
                <w:b/>
                <w:bCs/>
                <w:color w:val="1F3A5F"/>
                <w:sz w:val="56"/>
                <w:szCs w:val="56"/>
              </w:rPr>
              <w:t xml:space="preserve">O o</w:t>
            </w:r>
          </w:p>
        </w:tc>
        <w:tc>
          <w:tcPr>
            <w:tcW w:type="dxa" w:w="2700"/>
            <w:vAlign w:val="center"/>
          </w:tcPr>
          <w:p>
            <w:pPr>
              <w:jc w:val="center"/>
            </w:pPr>
            <w:r>
              <w:rPr>
                <w:b/>
                <w:bCs/>
                <w:color w:val="1F3A5F"/>
                <w:sz w:val="56"/>
                <w:szCs w:val="56"/>
              </w:rPr>
              <w:t xml:space="preserve">P p</w:t>
            </w:r>
          </w:p>
        </w:tc>
      </w:tr>
      <w:tr>
        <w:trPr>
          <w:trHeight w:val="1500" w:hRule="atLeast"/>
        </w:trPr>
        <w:tc>
          <w:tcPr>
            <w:tcW w:type="dxa" w:w="2700"/>
            <w:vAlign w:val="center"/>
          </w:tcPr>
          <w:p>
            <w:pPr>
              <w:jc w:val="center"/>
            </w:pPr>
            <w:r>
              <w:rPr>
                <w:b/>
                <w:bCs/>
                <w:color w:val="1F3A5F"/>
                <w:sz w:val="56"/>
                <w:szCs w:val="56"/>
              </w:rPr>
              <w:t xml:space="preserve">Q q</w:t>
            </w:r>
          </w:p>
        </w:tc>
        <w:tc>
          <w:tcPr>
            <w:tcW w:type="dxa" w:w="2700"/>
            <w:vAlign w:val="center"/>
          </w:tcPr>
          <w:p>
            <w:pPr>
              <w:jc w:val="center"/>
            </w:pPr>
            <w:r>
              <w:rPr>
                <w:b/>
                <w:bCs/>
                <w:color w:val="1F3A5F"/>
                <w:sz w:val="56"/>
                <w:szCs w:val="56"/>
              </w:rPr>
              <w:t xml:space="preserve">R r</w:t>
            </w:r>
          </w:p>
        </w:tc>
        <w:tc>
          <w:tcPr>
            <w:tcW w:type="dxa" w:w="2700"/>
            <w:vAlign w:val="center"/>
          </w:tcPr>
          <w:p>
            <w:pPr>
              <w:jc w:val="center"/>
            </w:pPr>
            <w:r>
              <w:rPr>
                <w:b/>
                <w:bCs/>
                <w:color w:val="1F3A5F"/>
                <w:sz w:val="56"/>
                <w:szCs w:val="56"/>
              </w:rPr>
              <w:t xml:space="preserve">S s</w:t>
            </w:r>
          </w:p>
        </w:tc>
        <w:tc>
          <w:tcPr>
            <w:tcW w:type="dxa" w:w="2700"/>
            <w:vAlign w:val="center"/>
          </w:tcPr>
          <w:p>
            <w:pPr>
              <w:jc w:val="center"/>
            </w:pPr>
            <w:r>
              <w:rPr>
                <w:b/>
                <w:bCs/>
                <w:color w:val="1F3A5F"/>
                <w:sz w:val="56"/>
                <w:szCs w:val="56"/>
              </w:rPr>
              <w:t xml:space="preserve">T t</w:t>
            </w:r>
          </w:p>
        </w:tc>
      </w:tr>
      <w:tr>
        <w:trPr>
          <w:trHeight w:val="1500" w:hRule="atLeast"/>
        </w:trPr>
        <w:tc>
          <w:tcPr>
            <w:tcW w:type="dxa" w:w="2700"/>
            <w:vAlign w:val="center"/>
          </w:tcPr>
          <w:p>
            <w:pPr>
              <w:jc w:val="center"/>
            </w:pPr>
            <w:r>
              <w:rPr>
                <w:b/>
                <w:bCs/>
                <w:color w:val="1F3A5F"/>
                <w:sz w:val="56"/>
                <w:szCs w:val="56"/>
              </w:rPr>
              <w:t xml:space="preserve">U u</w:t>
            </w:r>
          </w:p>
        </w:tc>
        <w:tc>
          <w:tcPr>
            <w:tcW w:type="dxa" w:w="2700"/>
            <w:vAlign w:val="center"/>
          </w:tcPr>
          <w:p>
            <w:pPr>
              <w:jc w:val="center"/>
            </w:pPr>
            <w:r>
              <w:rPr>
                <w:b/>
                <w:bCs/>
                <w:color w:val="1F3A5F"/>
                <w:sz w:val="56"/>
                <w:szCs w:val="56"/>
              </w:rPr>
              <w:t xml:space="preserve">V v</w:t>
            </w:r>
          </w:p>
        </w:tc>
        <w:tc>
          <w:tcPr>
            <w:tcW w:type="dxa" w:w="2700"/>
            <w:vAlign w:val="center"/>
          </w:tcPr>
          <w:p>
            <w:pPr>
              <w:jc w:val="center"/>
            </w:pPr>
            <w:r>
              <w:rPr>
                <w:b/>
                <w:bCs/>
                <w:color w:val="1F3A5F"/>
                <w:sz w:val="56"/>
                <w:szCs w:val="56"/>
              </w:rPr>
              <w:t xml:space="preserve">W w</w:t>
            </w:r>
          </w:p>
        </w:tc>
        <w:tc>
          <w:tcPr>
            <w:tcW w:type="dxa" w:w="2700"/>
            <w:vAlign w:val="center"/>
          </w:tcPr>
          <w:p>
            <w:pPr>
              <w:jc w:val="center"/>
            </w:pPr>
            <w:r>
              <w:rPr>
                <w:b/>
                <w:bCs/>
                <w:color w:val="1F3A5F"/>
                <w:sz w:val="56"/>
                <w:szCs w:val="56"/>
              </w:rPr>
              <w:t xml:space="preserve">X x</w:t>
            </w:r>
          </w:p>
        </w:tc>
      </w:tr>
      <w:tr>
        <w:trPr>
          <w:trHeight w:val="1500" w:hRule="atLeast"/>
        </w:trPr>
        <w:tc>
          <w:tcPr>
            <w:tcW w:type="dxa" w:w="2700"/>
            <w:vAlign w:val="center"/>
          </w:tcPr>
          <w:p>
            <w:pPr>
              <w:jc w:val="center"/>
            </w:pPr>
            <w:r>
              <w:rPr>
                <w:b/>
                <w:bCs/>
                <w:color w:val="1F3A5F"/>
                <w:sz w:val="56"/>
                <w:szCs w:val="56"/>
              </w:rPr>
              <w:t xml:space="preserve">Y y</w:t>
            </w:r>
          </w:p>
        </w:tc>
        <w:tc>
          <w:tcPr>
            <w:tcW w:type="dxa" w:w="2700"/>
            <w:vAlign w:val="center"/>
          </w:tcPr>
          <w:p>
            <w:pPr>
              <w:jc w:val="center"/>
            </w:pPr>
            <w:r>
              <w:rPr>
                <w:b/>
                <w:bCs/>
                <w:color w:val="1F3A5F"/>
                <w:sz w:val="56"/>
                <w:szCs w:val="56"/>
              </w:rPr>
              <w:t xml:space="preserve">Z z</w:t>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2700"/>
        <w:gridCol w:w="2700"/>
      </w:tblGrid>
      <w:tr>
        <w:trPr>
          <w:trHeight w:val="1500" w:hRule="atLeast"/>
        </w:trPr>
        <w:tc>
          <w:tcPr>
            <w:tcW w:type="dxa" w:w="2700"/>
            <w:vAlign w:val="center"/>
          </w:tcPr>
          <w:p>
            <w:pPr>
              <w:jc w:val="center"/>
            </w:pPr>
            <w:r>
              <w:rPr>
                <w:b/>
                <w:bCs/>
                <w:color w:val="7A3B69"/>
                <w:sz w:val="60"/>
                <w:szCs w:val="60"/>
              </w:rPr>
              <w:t xml:space="preserve">a</w:t>
            </w:r>
          </w:p>
        </w:tc>
        <w:tc>
          <w:tcPr>
            <w:tcW w:type="dxa" w:w="2700"/>
            <w:vAlign w:val="center"/>
          </w:tcPr>
          <w:p>
            <w:pPr>
              <w:jc w:val="center"/>
            </w:pPr>
            <w:r>
              <w:rPr>
                <w:b/>
                <w:bCs/>
                <w:color w:val="7A3B69"/>
                <w:sz w:val="60"/>
                <w:szCs w:val="60"/>
              </w:rPr>
              <w:t xml:space="preserve">o</w:t>
            </w:r>
          </w:p>
        </w:tc>
        <w:tc>
          <w:tcPr>
            <w:tcW w:type="dxa" w:w="2700"/>
            <w:vAlign w:val="center"/>
          </w:tcPr>
          <w:p>
            <w:pPr>
              <w:jc w:val="center"/>
            </w:pPr>
            <w:r>
              <w:rPr>
                <w:b/>
                <w:bCs/>
                <w:color w:val="7A3B69"/>
                <w:sz w:val="60"/>
                <w:szCs w:val="60"/>
              </w:rPr>
              <w:t xml:space="preserve">u</w:t>
            </w:r>
          </w:p>
        </w:tc>
        <w:tc>
          <w:tcPr>
            <w:tcW w:type="dxa" w:w="2700"/>
            <w:vAlign w:val="center"/>
          </w:tcPr>
          <w:p>
            <w:pPr>
              <w:jc w:val="center"/>
            </w:pPr>
            <w:r>
              <w:rPr>
                <w:b/>
                <w:bCs/>
                <w:color w:val="7A3B69"/>
                <w:sz w:val="60"/>
                <w:szCs w:val="60"/>
              </w:rPr>
              <w:t xml:space="preserve">s</w:t>
            </w:r>
          </w:p>
        </w:tc>
      </w:tr>
      <w:tr>
        <w:trPr>
          <w:trHeight w:val="1500" w:hRule="atLeast"/>
        </w:trPr>
        <w:tc>
          <w:tcPr>
            <w:tcW w:type="dxa" w:w="2700"/>
            <w:vAlign w:val="center"/>
          </w:tcPr>
          <w:p>
            <w:pPr>
              <w:jc w:val="center"/>
            </w:pPr>
            <w:r>
              <w:rPr>
                <w:b/>
                <w:bCs/>
                <w:color w:val="7A3B69"/>
                <w:sz w:val="60"/>
                <w:szCs w:val="60"/>
              </w:rPr>
              <w:t xml:space="preserve">t</w:t>
            </w:r>
          </w:p>
        </w:tc>
        <w:tc>
          <w:tcPr>
            <w:tcW w:type="dxa" w:w="2700"/>
            <w:vAlign w:val="center"/>
          </w:tcPr>
          <w:p>
            <w:pPr>
              <w:jc w:val="center"/>
            </w:pPr>
            <w:r>
              <w:rPr>
                <w:b/>
                <w:bCs/>
                <w:color w:val="7A3B69"/>
                <w:sz w:val="60"/>
                <w:szCs w:val="60"/>
              </w:rPr>
              <w:t xml:space="preserve">l</w:t>
            </w:r>
          </w:p>
        </w:tc>
        <w:tc>
          <w:tcPr>
            <w:tcW w:type="dxa" w:w="2700"/>
            <w:vAlign w:val="center"/>
          </w:tcPr>
          <w:p>
            <w:pPr>
              <w:jc w:val="center"/>
            </w:pPr>
            <w:r>
              <w:rPr>
                <w:b/>
                <w:bCs/>
                <w:color w:val="7A3B69"/>
                <w:sz w:val="60"/>
                <w:szCs w:val="60"/>
              </w:rPr>
              <w:t xml:space="preserve">m</w:t>
            </w:r>
          </w:p>
        </w:tc>
        <w:tc>
          <w:tcPr>
            <w:tcW w:type="dxa" w:w="2700"/>
            <w:vAlign w:val="center"/>
          </w:tcPr>
          <w:p>
            <w:pPr>
              <w:jc w:val="center"/>
            </w:pPr>
            <w:r>
              <w:rPr>
                <w:b/>
                <w:bCs/>
                <w:color w:val="7A3B69"/>
                <w:sz w:val="60"/>
                <w:szCs w:val="60"/>
              </w:rPr>
              <w:t xml:space="preserve">n</w:t>
            </w:r>
          </w:p>
        </w:tc>
      </w:tr>
      <w:tr>
        <w:trPr>
          <w:trHeight w:val="1500" w:hRule="atLeast"/>
        </w:trPr>
        <w:tc>
          <w:tcPr>
            <w:tcW w:type="dxa" w:w="2700"/>
            <w:vAlign w:val="center"/>
          </w:tcPr>
          <w:p>
            <w:pPr>
              <w:jc w:val="center"/>
            </w:pPr>
            <w:r>
              <w:rPr>
                <w:b/>
                <w:bCs/>
                <w:color w:val="7A3B69"/>
                <w:sz w:val="60"/>
                <w:szCs w:val="60"/>
              </w:rPr>
              <w:t xml:space="preserve">k</w:t>
            </w:r>
          </w:p>
        </w:tc>
        <w:tc>
          <w:tcPr>
            <w:tcW w:type="dxa" w:w="2700"/>
            <w:vAlign w:val="center"/>
          </w:tcPr>
          <w:p>
            <w:pPr>
              <w:jc w:val="center"/>
            </w:pPr>
            <w:r>
              <w:rPr>
                <w:b/>
                <w:bCs/>
                <w:color w:val="7A3B69"/>
                <w:sz w:val="60"/>
                <w:szCs w:val="60"/>
              </w:rPr>
              <w:t xml:space="preserve">p</w:t>
            </w:r>
          </w:p>
        </w:tc>
        <w:tc>
          <w:tcPr>
            <w:tcW w:type="dxa" w:w="2700"/>
            <w:vAlign w:val="center"/>
          </w:tcPr>
          <w:p>
            <w:pPr>
              <w:jc w:val="center"/>
            </w:pPr>
            <w:r>
              <w:rPr>
                <w:b/>
                <w:bCs/>
                <w:color w:val="7A3B69"/>
                <w:sz w:val="60"/>
                <w:szCs w:val="60"/>
              </w:rPr>
              <w:t xml:space="preserve">b</w:t>
            </w:r>
          </w:p>
        </w:tc>
        <w:tc>
          <w:tcPr>
            <w:tcW w:type="dxa" w:w="2700"/>
            <w:vAlign w:val="center"/>
          </w:tcPr>
          <w:p>
            <w:pPr>
              <w:jc w:val="center"/>
            </w:pPr>
            <w:r>
              <w:rPr>
                <w:b/>
                <w:bCs/>
                <w:color w:val="7A3B69"/>
                <w:sz w:val="60"/>
                <w:szCs w:val="60"/>
              </w:rPr>
              <w:t xml:space="preserve">d</w:t>
            </w:r>
          </w:p>
        </w:tc>
      </w:tr>
      <w:tr>
        <w:trPr>
          <w:trHeight w:val="1500" w:hRule="atLeast"/>
        </w:trPr>
        <w:tc>
          <w:tcPr>
            <w:tcW w:type="dxa" w:w="2700"/>
            <w:vAlign w:val="center"/>
          </w:tcPr>
          <w:p>
            <w:pPr>
              <w:jc w:val="center"/>
            </w:pPr>
            <w:r>
              <w:rPr>
                <w:b/>
                <w:bCs/>
                <w:color w:val="7A3B69"/>
                <w:sz w:val="60"/>
                <w:szCs w:val="60"/>
              </w:rPr>
              <w:t xml:space="preserve">g</w:t>
            </w:r>
          </w:p>
        </w:tc>
        <w:tc>
          <w:tcPr>
            <w:tcW w:type="dxa" w:w="2700"/>
            <w:vAlign w:val="center"/>
          </w:tcPr>
          <w:p>
            <w:r>
              <w:t xml:space="preserve"/>
            </w:r>
          </w:p>
        </w:tc>
        <w:tc>
          <w:tcPr>
            <w:tcW w:type="dxa" w:w="2700"/>
            <w:vAlign w:val="center"/>
          </w:tcPr>
          <w:p>
            <w:r>
              <w:t xml:space="preserve"/>
            </w:r>
          </w:p>
        </w:tc>
        <w:tc>
          <w:tcPr>
            <w:tcW w:type="dxa" w:w="2700"/>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r>
        <w:trPr>
          <w:trHeight w:val="2100" w:hRule="atLeast"/>
        </w:trPr>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c>
          <w:tcPr>
            <w:tcW w:type="dxa" w:w="3600"/>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2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3400"/>
        <w:gridCol w:w="2100"/>
        <w:gridCol w:w="800"/>
      </w:tblGrid>
      <w:tr>
        <w:trPr>
          <w:tblHeader/>
        </w:trPr>
        <w:tc>
          <w:tcPr>
            <w:tcW w:type="dxa" w:w="900"/>
            <w:tcMar>
              <w:top w:type="dxa" w:w="90"/>
              <w:left w:type="dxa" w:w="120"/>
              <w:bottom w:type="dxa" w:w="90"/>
              <w:right w:type="dxa" w:w="120"/>
            </w:tcMar>
          </w:tcPr>
          <w:p>
            <w:r>
              <w:rPr>
                <w:b/>
                <w:bCs/>
                <w:color w:val="1F3A5F"/>
                <w:sz w:val="17"/>
                <w:szCs w:val="17"/>
              </w:rPr>
              <w:t xml:space="preserve">Week</w:t>
            </w:r>
          </w:p>
        </w:tc>
        <w:tc>
          <w:tcPr>
            <w:tcW w:type="dxa" w:w="3600"/>
            <w:tcMar>
              <w:top w:type="dxa" w:w="90"/>
              <w:left w:type="dxa" w:w="120"/>
              <w:bottom w:type="dxa" w:w="90"/>
              <w:right w:type="dxa" w:w="120"/>
            </w:tcMar>
          </w:tcPr>
          <w:p>
            <w:r>
              <w:rPr>
                <w:b/>
                <w:bCs/>
                <w:color w:val="1F3A5F"/>
                <w:sz w:val="17"/>
                <w:szCs w:val="17"/>
              </w:rPr>
              <w:t xml:space="preserve">Step we agreed</w:t>
            </w:r>
          </w:p>
        </w:tc>
        <w:tc>
          <w:tcPr>
            <w:tcW w:type="dxa" w:w="3400"/>
            <w:tcMar>
              <w:top w:type="dxa" w:w="90"/>
              <w:left w:type="dxa" w:w="120"/>
              <w:bottom w:type="dxa" w:w="90"/>
              <w:right w:type="dxa" w:w="120"/>
            </w:tcMar>
          </w:tcPr>
          <w:p>
            <w:r>
              <w:rPr>
                <w:b/>
                <w:bCs/>
                <w:color w:val="1F3A5F"/>
                <w:sz w:val="17"/>
                <w:szCs w:val="17"/>
              </w:rPr>
              <w:t xml:space="preserve">What I noticed (facts, not diagnosis)</w:t>
            </w:r>
          </w:p>
        </w:tc>
        <w:tc>
          <w:tcPr>
            <w:tcW w:type="dxa" w:w="2100"/>
            <w:tcMar>
              <w:top w:type="dxa" w:w="90"/>
              <w:left w:type="dxa" w:w="120"/>
              <w:bottom w:type="dxa" w:w="90"/>
              <w:right w:type="dxa" w:w="120"/>
            </w:tcMar>
          </w:tcPr>
          <w:p>
            <w:r>
              <w:rPr>
                <w:b/>
                <w:bCs/>
                <w:color w:val="1F3A5F"/>
                <w:sz w:val="17"/>
                <w:szCs w:val="17"/>
              </w:rPr>
              <w:t xml:space="preserve">Last step happened?</w:t>
            </w:r>
          </w:p>
        </w:tc>
        <w:tc>
          <w:tcPr>
            <w:tcW w:type="dxa" w:w="800"/>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3</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4</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5</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6</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7</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8</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9</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10</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11</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900"/>
            <w:tcMar>
              <w:top w:type="dxa" w:w="90"/>
              <w:left w:type="dxa" w:w="120"/>
              <w:bottom w:type="dxa" w:w="90"/>
              <w:right w:type="dxa" w:w="120"/>
            </w:tcMar>
          </w:tcPr>
          <w:p>
            <w:r>
              <w:rPr>
                <w:b/>
                <w:bCs/>
                <w:color w:val="7A3B69"/>
                <w:sz w:val="19"/>
                <w:szCs w:val="19"/>
              </w:rPr>
              <w:t xml:space="preserve">12</w:t>
            </w:r>
          </w:p>
        </w:tc>
        <w:tc>
          <w:tcPr>
            <w:tcW w:type="dxa" w:w="3600"/>
            <w:tcMar>
              <w:top w:type="dxa" w:w="90"/>
              <w:left w:type="dxa" w:w="120"/>
              <w:bottom w:type="dxa" w:w="90"/>
              <w:right w:type="dxa" w:w="120"/>
            </w:tcMar>
          </w:tcPr>
          <w:p>
            <w:r>
              <w:rPr>
                <w:b w:val="false"/>
                <w:bCs w:val="false"/>
                <w:sz w:val="19"/>
                <w:szCs w:val="19"/>
              </w:rPr>
              <w:t xml:space="preserve"/>
            </w:r>
          </w:p>
        </w:tc>
        <w:tc>
          <w:tcPr>
            <w:tcW w:type="dxa" w:w="3400"/>
            <w:tcMar>
              <w:top w:type="dxa" w:w="90"/>
              <w:left w:type="dxa" w:w="120"/>
              <w:bottom w:type="dxa" w:w="90"/>
              <w:right w:type="dxa" w:w="120"/>
            </w:tcMar>
          </w:tcPr>
          <w:p>
            <w:r>
              <w:rPr>
                <w:b w:val="false"/>
                <w:bCs w:val="false"/>
                <w:sz w:val="19"/>
                <w:szCs w:val="19"/>
              </w:rPr>
              <w:t xml:space="preserve"/>
            </w:r>
          </w:p>
        </w:tc>
        <w:tc>
          <w:tcPr>
            <w:tcW w:type="dxa" w:w="2100"/>
            <w:tcMar>
              <w:top w:type="dxa" w:w="90"/>
              <w:left w:type="dxa" w:w="120"/>
              <w:bottom w:type="dxa" w:w="90"/>
              <w:right w:type="dxa" w:w="120"/>
            </w:tcMar>
          </w:tcPr>
          <w:p>
            <w:r>
              <w:rPr>
                <w:b w:val="false"/>
                <w:bCs w:val="false"/>
                <w:sz w:val="19"/>
                <w:szCs w:val="19"/>
              </w:rPr>
              <w:t xml:space="preserve"/>
            </w:r>
          </w:p>
        </w:tc>
        <w:tc>
          <w:tcPr>
            <w:tcW w:type="dxa" w:w="800"/>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2026-08-25T07:51:40.524Z</dcterms:created>
  <dcterms:modified xsi:type="dcterms:W3CDTF">2026-08-25T07:51:40.524Z</dcterms:modified>
</cp:coreProperties>
</file>

<file path=docProps/custom.xml><?xml version="1.0" encoding="utf-8"?>
<Properties xmlns="http://schemas.openxmlformats.org/officeDocument/2006/custom-properties" xmlns:vt="http://schemas.openxmlformats.org/officeDocument/2006/docPropsVTypes"/>
</file>