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3"/>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3"/>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3"/>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2"/>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2"/>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2"/>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2"/>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2"/>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3"/>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3"/>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3"/>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3"/>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3"/>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3"/>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3"/>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3"/>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3"/>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3"/>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3"/>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3"/>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3"/>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3"/>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3"/>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3"/>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3"/>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Describing beats praising, and this cohort has good defences against praise.</w:t>
      </w:r>
    </w:p>
    <w:p>
      <w:pPr>
        <w:pStyle w:val="Heading3"/>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3"/>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3"/>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3"/>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3"/>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3"/>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3"/>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3"/>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3"/>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3"/>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3"/>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3"/>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3"/>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3"/>
        <w:keepNext/>
        <w:spacing w:after="80" w:before="220"/>
      </w:pPr>
      <w:r>
        <w:rPr>
          <w:b/>
          <w:bCs/>
          <w:color w:val="1F3A5F"/>
          <w:sz w:val="24"/>
          <w:szCs w:val="24"/>
        </w:rPr>
        <w:t xml:space="preserve">The tell that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3"/>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belongs to the learner beats a better one that belongs to you — the whole component is about who is deciding.</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3"/>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This is not a concession to low literacy; a picture of yourself doing the thing is more motivating than a sentence about it, and it is what they will turn back to when a week goes badly.</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3"/>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3"/>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3"/>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3"/>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3"/>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3"/>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3"/>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3"/>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3"/>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3"/>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3"/>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3"/>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3"/>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 it may be the only slot that exists. Teach it as a legitimate first choice, not a fallback.</w:t>
      </w:r>
    </w:p>
    <w:p>
      <w:pPr>
        <w:pStyle w:val="Heading3"/>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3"/>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3"/>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3"/>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3"/>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3"/>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3"/>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3"/>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3"/>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3"/>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3"/>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3"/>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3"/>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3"/>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3"/>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3"/>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3"/>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3"/>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goal work (FSL2)</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2"/>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2"/>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2"/>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2"/>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2026-08-25T06:43:47.332Z</dcterms:created>
  <dcterms:modified xsi:type="dcterms:W3CDTF">2026-08-25T06:43:47.332Z</dcterms:modified>
</cp:coreProperties>
</file>

<file path=docProps/custom.xml><?xml version="1.0" encoding="utf-8"?>
<Properties xmlns="http://schemas.openxmlformats.org/officeDocument/2006/custom-properties" xmlns:vt="http://schemas.openxmlformats.org/officeDocument/2006/docPropsVTypes"/>
</file>