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The trees on our hills</w:t>
      </w:r>
    </w:p>
    <w:p>
      <w:pPr>
        <w:spacing w:after="120" w:before="0"/>
      </w:pPr>
      <w:r>
        <w:rPr>
          <w:sz w:val="22"/>
          <w:szCs w:val="22"/>
        </w:rPr>
        <w:t xml:space="preserve">The full 54-hour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54 hours total</w:t>
      </w:r>
      <w:r>
        <w:rPr>
          <w:color w:val="5A6473"/>
          <w:sz w:val="22"/>
          <w:szCs w:val="22"/>
        </w:rPr>
        <w:t xml:space="preserve">   ·   33h in-person  ·  21h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 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Crucially, the scaffold lives in the learner's research book, not only in you: every page shows a worked example and gives frames, sentence stems, and labelled slots to fill, and a repeating weekly spread carries the between-session work — so a learner who is alone, or who returns after a missed session, still has a model and a structure to work from. Some learners keep more support for longer, and that is exactly right.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1"/>
        <w:spacing w:after="100" w:before="240"/>
      </w:pPr>
      <w:r>
        <w:rPr>
          <w:b/>
          <w:bCs/>
          <w:color w:val="1F3A5F"/>
          <w:sz w:val="30"/>
          <w:szCs w:val="30"/>
        </w:rPr>
        <w:t xml:space="preserve">Before you start</w:t>
      </w:r>
    </w:p>
    <w:p>
      <w:pPr>
        <w:pStyle w:val="Heading2"/>
        <w:spacing w:after="80" w:before="200"/>
      </w:pPr>
      <w:r>
        <w:rPr>
          <w:b/>
          <w:bCs/>
          <w:color w:val="7A3B69"/>
          <w:sz w:val="26"/>
          <w:szCs w:val="26"/>
        </w:rPr>
        <w:t xml:space="preserve">Start here</w:t>
      </w:r>
    </w:p>
    <w:p>
      <w:pPr>
        <w:spacing w:after="120" w:before="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20" w:before="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spacing w:after="80" w:before="200"/>
      </w:pPr>
      <w:r>
        <w:rPr>
          <w:b/>
          <w:bCs/>
          <w:color w:val="7A3B69"/>
          <w:sz w:val="26"/>
          <w:szCs w:val="26"/>
        </w:rPr>
        <w:t xml:space="preserve">The offline pack</w:t>
      </w:r>
    </w:p>
    <w:p>
      <w:pPr>
        <w:spacing w:after="120" w:before="0"/>
      </w:pPr>
      <w:r>
        <w:rPr>
          <w:sz w:val="22"/>
          <w:szCs w:val="22"/>
        </w:rPr>
        <w:t xml:space="preserve">You have four things, all editable and printable:</w:t>
      </w:r>
    </w:p>
    <w:p>
      <w:pPr>
        <w:pStyle w:val="ListParagraph"/>
        <w:numPr>
          <w:ilvl w:val="0"/>
          <w:numId w:val="1"/>
        </w:numPr>
        <w:spacing w:after="60"/>
      </w:pPr>
      <w:r>
        <w:rPr>
          <w:sz w:val="22"/>
          <w:szCs w:val="22"/>
        </w:rPr>
        <w:t xml:space="preserve">The Facilitator Unit Plan and Guide (this pack) — the full plan with every session's guidance, the</w:t>
      </w:r>
    </w:p>
    <w:p>
      <w:pPr>
        <w:spacing w:after="120" w:before="0"/>
      </w:pPr>
      <w:r>
        <w:rPr>
          <w:sz w:val="22"/>
          <w:szCs w:val="22"/>
        </w:rPr>
        <w:t xml:space="preserve">source pack, and the original articles behind it.</w:t>
      </w:r>
    </w:p>
    <w:p>
      <w:pPr>
        <w:pStyle w:val="ListParagraph"/>
        <w:numPr>
          <w:ilvl w:val="0"/>
          <w:numId w:val="1"/>
        </w:numPr>
        <w:spacing w:after="60"/>
      </w:pPr>
      <w:r>
        <w:rPr>
          <w:sz w:val="22"/>
          <w:szCs w:val="22"/>
        </w:rPr>
        <w:t xml:space="preserve">The Student Workbook — the research book each learner keeps: the sources to read, the research word</w:t>
      </w:r>
    </w:p>
    <w:p>
      <w:pPr>
        <w:spacing w:after="120" w:before="0"/>
      </w:pPr>
      <w:r>
        <w:rPr>
          <w:sz w:val="22"/>
          <w:szCs w:val="22"/>
        </w:rPr>
        <w:t xml:space="preserve">bank, and a page for each step of the investigation.</w:t>
      </w:r>
    </w:p>
    <w:p>
      <w:pPr>
        <w:pStyle w:val="ListParagraph"/>
        <w:numPr>
          <w:ilvl w:val="0"/>
          <w:numId w:val="1"/>
        </w:numPr>
        <w:spacing w:after="60"/>
      </w:pPr>
      <w:r>
        <w:rPr>
          <w:sz w:val="22"/>
          <w:szCs w:val="22"/>
        </w:rPr>
        <w:t xml:space="preserve">The picture-word cards — printable cards for the research words, to build the word wall.</w:t>
      </w:r>
    </w:p>
    <w:p>
      <w:pPr>
        <w:pStyle w:val="ListParagraph"/>
        <w:numPr>
          <w:ilvl w:val="0"/>
          <w:numId w:val="1"/>
        </w:numPr>
        <w:spacing w:after="60"/>
      </w:pPr>
      <w:r>
        <w:rPr>
          <w:sz w:val="22"/>
          <w:szCs w:val="22"/>
        </w:rPr>
        <w:t xml:space="preserve">This start-here, the safeguarding and protection guide, and the assessment guide (all in this pack).</w:t>
      </w:r>
    </w:p>
    <w:p>
      <w:pPr>
        <w:pStyle w:val="Heading2"/>
        <w:spacing w:after="80" w:before="200"/>
      </w:pPr>
      <w:r>
        <w:rPr>
          <w:b/>
          <w:bCs/>
          <w:color w:val="7A3B69"/>
          <w:sz w:val="26"/>
          <w:szCs w:val="26"/>
        </w:rPr>
        <w:t xml:space="preserve">What you need (kit)</w:t>
      </w:r>
    </w:p>
    <w:p>
      <w:pPr>
        <w:pStyle w:val="ListParagraph"/>
        <w:numPr>
          <w:ilvl w:val="0"/>
          <w:numId w:val="1"/>
        </w:numPr>
        <w:spacing w:after="60"/>
      </w:pPr>
      <w:r>
        <w:rPr>
          <w:sz w:val="22"/>
          <w:szCs w:val="22"/>
        </w:rPr>
        <w:t xml:space="preserve">One printed research book (student workbook) per learner, and a few spare blank pages.</w:t>
      </w:r>
    </w:p>
    <w:p>
      <w:pPr>
        <w:pStyle w:val="ListParagraph"/>
        <w:numPr>
          <w:ilvl w:val="0"/>
          <w:numId w:val="1"/>
        </w:numPr>
        <w:spacing w:after="60"/>
      </w:pPr>
      <w:r>
        <w:rPr>
          <w:sz w:val="22"/>
          <w:szCs w:val="22"/>
        </w:rPr>
        <w:t xml:space="preserve">Pencils, and colours if you have them.</w:t>
      </w:r>
    </w:p>
    <w:p>
      <w:pPr>
        <w:pStyle w:val="ListParagraph"/>
        <w:numPr>
          <w:ilvl w:val="0"/>
          <w:numId w:val="1"/>
        </w:numPr>
        <w:spacing w:after="60"/>
      </w:pPr>
      <w:r>
        <w:rPr>
          <w:sz w:val="22"/>
          <w:szCs w:val="22"/>
        </w:rPr>
        <w:t xml:space="preserve">A wall or floor you can use — for the "before and now" picture, the know / find-out wall, the</w:t>
      </w:r>
    </w:p>
    <w:p>
      <w:pPr>
        <w:spacing w:after="120" w:before="0"/>
      </w:pPr>
      <w:r>
        <w:rPr>
          <w:sz w:val="22"/>
          <w:szCs w:val="22"/>
        </w:rPr>
        <w:t xml:space="preserve">community map, the theme sorting, and the trust line. Big paper or a cleared wall space works.</w:t>
      </w:r>
    </w:p>
    <w:p>
      <w:pPr>
        <w:pStyle w:val="ListParagraph"/>
        <w:numPr>
          <w:ilvl w:val="0"/>
          <w:numId w:val="1"/>
        </w:numPr>
        <w:spacing w:after="60"/>
      </w:pPr>
      <w:r>
        <w:rPr>
          <w:sz w:val="22"/>
          <w:szCs w:val="22"/>
        </w:rPr>
        <w:t xml:space="preserve">Cards you can move around: for sorting evidence into themes, and for the trust line. Cut paper is fine.</w:t>
      </w:r>
    </w:p>
    <w:p>
      <w:pPr>
        <w:pStyle w:val="ListParagraph"/>
        <w:numPr>
          <w:ilvl w:val="0"/>
          <w:numId w:val="1"/>
        </w:numPr>
        <w:spacing w:after="60"/>
      </w:pPr>
      <w:r>
        <w:rPr>
          <w:sz w:val="22"/>
          <w:szCs w:val="22"/>
        </w:rPr>
        <w:t xml:space="preserve">The picture-word cards, cut out, for the word wall.</w:t>
      </w:r>
    </w:p>
    <w:p>
      <w:pPr>
        <w:pStyle w:val="ListParagraph"/>
        <w:numPr>
          <w:ilvl w:val="0"/>
          <w:numId w:val="1"/>
        </w:numPr>
        <w:spacing w:after="60"/>
      </w:pPr>
      <w:r>
        <w:rPr>
          <w:sz w:val="22"/>
          <w:szCs w:val="22"/>
        </w:rPr>
        <w:t xml:space="preserve">The pictures you prepare (see below).</w:t>
      </w:r>
    </w:p>
    <w:p>
      <w:pPr>
        <w:pStyle w:val="Heading2"/>
        <w:spacing w:after="80" w:before="200"/>
      </w:pPr>
      <w:r>
        <w:rPr>
          <w:b/>
          <w:bCs/>
          <w:color w:val="7A3B69"/>
          <w:sz w:val="26"/>
          <w:szCs w:val="26"/>
        </w:rPr>
        <w:t xml:space="preserve">What to prepare, phase by phase</w:t>
      </w:r>
    </w:p>
    <w:p>
      <w:pPr>
        <w:pStyle w:val="ListParagraph"/>
        <w:numPr>
          <w:ilvl w:val="0"/>
          <w:numId w:val="1"/>
        </w:numPr>
        <w:spacing w:after="60"/>
      </w:pPr>
      <w:r>
        <w:rPr>
          <w:sz w:val="22"/>
          <w:szCs w:val="22"/>
        </w:rPr>
        <w:t xml:space="preserve">Getting started: a picture — or a story you can tell — of the hills before the camps and now.</w:t>
      </w:r>
    </w:p>
    <w:p>
      <w:pPr>
        <w:spacing w:after="120" w:before="0"/>
      </w:pPr>
      <w:r>
        <w:rPr>
          <w:sz w:val="22"/>
          <w:szCs w:val="22"/>
        </w:rPr>
        <w:t xml:space="preserve">Prepare the research books so learners can make them their own on day one.</w:t>
      </w:r>
    </w:p>
    <w:p>
      <w:pPr>
        <w:pStyle w:val="ListParagraph"/>
        <w:numPr>
          <w:ilvl w:val="0"/>
          <w:numId w:val="1"/>
        </w:numPr>
        <w:spacing w:after="60"/>
      </w:pPr>
      <w:r>
        <w:rPr>
          <w:sz w:val="22"/>
          <w:szCs w:val="22"/>
        </w:rPr>
        <w:t xml:space="preserve">Frame the challenge: wall space for the "what we know / what we want to find out" wall and the</w:t>
      </w:r>
    </w:p>
    <w:p>
      <w:pPr>
        <w:spacing w:after="120" w:before="0"/>
      </w:pPr>
      <w:r>
        <w:rPr>
          <w:sz w:val="22"/>
          <w:szCs w:val="22"/>
        </w:rPr>
        <w:t xml:space="preserve">community map. Keep both up all course.</w:t>
      </w:r>
    </w:p>
    <w:p>
      <w:pPr>
        <w:pStyle w:val="ListParagraph"/>
        <w:numPr>
          <w:ilvl w:val="0"/>
          <w:numId w:val="1"/>
        </w:numPr>
        <w:spacing w:after="60"/>
      </w:pPr>
      <w:r>
        <w:rPr>
          <w:sz w:val="22"/>
          <w:szCs w:val="22"/>
        </w:rPr>
        <w:t xml:space="preserve">Plan and conduct research: practise the consent words with the group before anyone gathers. Agree,</w:t>
      </w:r>
    </w:p>
    <w:p>
      <w:pPr>
        <w:spacing w:after="120" w:before="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60"/>
      </w:pPr>
      <w:r>
        <w:rPr>
          <w:sz w:val="22"/>
          <w:szCs w:val="22"/>
        </w:rPr>
        <w:t xml:space="preserve">Evaluate evidence: cards for theme-sorting; a line on the floor for the trust line.</w:t>
      </w:r>
    </w:p>
    <w:p>
      <w:pPr>
        <w:pStyle w:val="ListParagraph"/>
        <w:numPr>
          <w:ilvl w:val="0"/>
          <w:numId w:val="1"/>
        </w:numPr>
        <w:spacing w:after="60"/>
      </w:pPr>
      <w:r>
        <w:rPr>
          <w:sz w:val="22"/>
          <w:szCs w:val="22"/>
        </w:rPr>
        <w:t xml:space="preserve">Communicate findings: whatever the learners choose for their output — paper for a poster, space for a</w:t>
      </w:r>
    </w:p>
    <w:p>
      <w:pPr>
        <w:spacing w:after="120" w:before="0"/>
      </w:pPr>
      <w:r>
        <w:rPr>
          <w:sz w:val="22"/>
          <w:szCs w:val="22"/>
        </w:rPr>
        <w:t xml:space="preserve">role-play, and time to rehearse.</w:t>
      </w:r>
    </w:p>
    <w:p>
      <w:pPr>
        <w:pStyle w:val="ListParagraph"/>
        <w:numPr>
          <w:ilvl w:val="0"/>
          <w:numId w:val="1"/>
        </w:numPr>
        <w:spacing w:after="60"/>
      </w:pPr>
      <w:r>
        <w:rPr>
          <w:sz w:val="22"/>
          <w:szCs w:val="22"/>
        </w:rPr>
        <w:t xml:space="preserve">Showcase and reflect: a warm space and, if possible, the audience the learners chose to invite.</w:t>
      </w:r>
    </w:p>
    <w:p>
      <w:pPr>
        <w:pStyle w:val="Heading2"/>
        <w:spacing w:after="80" w:before="200"/>
      </w:pPr>
      <w:r>
        <w:rPr>
          <w:b/>
          <w:bCs/>
          <w:color w:val="7A3B69"/>
          <w:sz w:val="26"/>
          <w:szCs w:val="26"/>
        </w:rPr>
        <w:t xml:space="preserve">Running it with no screen or internet</w:t>
      </w:r>
    </w:p>
    <w:p>
      <w:pPr>
        <w:pStyle w:val="ListParagraph"/>
        <w:numPr>
          <w:ilvl w:val="0"/>
          <w:numId w:val="1"/>
        </w:numPr>
        <w:spacing w:after="60"/>
      </w:pPr>
      <w:r>
        <w:rPr>
          <w:sz w:val="22"/>
          <w:szCs w:val="22"/>
        </w:rPr>
        <w:t xml:space="preserve">Everything is oral and visual first. Read sources aloud. Let learners answer in drawings, marks, and</w:t>
      </w:r>
    </w:p>
    <w:p>
      <w:pPr>
        <w:spacing w:after="120" w:before="0"/>
      </w:pPr>
      <w:r>
        <w:rPr>
          <w:sz w:val="22"/>
          <w:szCs w:val="22"/>
        </w:rPr>
        <w:t xml:space="preserve">a few words — neat writing is never required.</w:t>
      </w:r>
    </w:p>
    <w:p>
      <w:pPr>
        <w:pStyle w:val="ListParagraph"/>
        <w:numPr>
          <w:ilvl w:val="0"/>
          <w:numId w:val="1"/>
        </w:numPr>
        <w:spacing w:after="60"/>
      </w:pPr>
      <w:r>
        <w:rPr>
          <w:sz w:val="22"/>
          <w:szCs w:val="22"/>
        </w:rPr>
        <w:t xml:space="preserve">The Student Workbook is designed to be printed and written in by hand. The source cards come at three</w:t>
      </w:r>
    </w:p>
    <w:p>
      <w:pPr>
        <w:spacing w:after="120" w:before="0"/>
      </w:pPr>
      <w:r>
        <w:rPr>
          <w:sz w:val="22"/>
          <w:szCs w:val="22"/>
        </w:rPr>
        <w:t xml:space="preserve">reading levels (a real article, a B1 version, a simpler A1/A2 version) so you can meet each learner.</w:t>
      </w:r>
    </w:p>
    <w:p>
      <w:pPr>
        <w:pStyle w:val="ListParagraph"/>
        <w:numPr>
          <w:ilvl w:val="0"/>
          <w:numId w:val="1"/>
        </w:numPr>
        <w:spacing w:after="60"/>
      </w:pPr>
      <w:r>
        <w:rPr>
          <w:sz w:val="22"/>
          <w:szCs w:val="22"/>
        </w:rPr>
        <w:t xml:space="preserve">The research book is the spine of the whole course. It carries each learner's question, evidence, and</w:t>
      </w:r>
    </w:p>
    <w:p>
      <w:pPr>
        <w:spacing w:after="120" w:before="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60"/>
      </w:pPr>
      <w:r>
        <w:rPr>
          <w:sz w:val="22"/>
          <w:szCs w:val="22"/>
        </w:rPr>
        <w:t xml:space="preserve">Times are generous on purpose. Oral and visual work, drawing, and translation take longer than they</w:t>
      </w:r>
    </w:p>
    <w:p>
      <w:pPr>
        <w:spacing w:after="120" w:before="0"/>
      </w:pPr>
      <w:r>
        <w:rPr>
          <w:sz w:val="22"/>
          <w:szCs w:val="22"/>
        </w:rPr>
        <w:t xml:space="preserve">look. It is fine to take two sessions over one block.</w:t>
      </w:r>
    </w:p>
    <w:p>
      <w:pPr>
        <w:pStyle w:val="Heading2"/>
        <w:spacing w:after="80" w:before="200"/>
      </w:pPr>
      <w:r>
        <w:rPr>
          <w:b/>
          <w:bCs/>
          <w:color w:val="7A3B69"/>
          <w:sz w:val="26"/>
          <w:szCs w:val="26"/>
        </w:rPr>
        <w:t xml:space="preserve">Pictures you will need to make</w:t>
      </w:r>
    </w:p>
    <w:p>
      <w:pPr>
        <w:spacing w:after="120" w:before="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60"/>
      </w:pPr>
      <w:r>
        <w:rPr>
          <w:sz w:val="22"/>
          <w:szCs w:val="22"/>
        </w:rPr>
        <w:t xml:space="preserve">The hills "before and now": one showing the hills full of trees, one showing bare slopes today.</w:t>
      </w:r>
    </w:p>
    <w:p>
      <w:pPr>
        <w:pStyle w:val="ListParagraph"/>
        <w:numPr>
          <w:ilvl w:val="0"/>
          <w:numId w:val="1"/>
        </w:numPr>
        <w:spacing w:after="60"/>
      </w:pPr>
      <w:r>
        <w:rPr>
          <w:sz w:val="22"/>
          <w:szCs w:val="22"/>
        </w:rPr>
        <w:t xml:space="preserve">A simple picture for each research word on the word wall (the picture-word cards give you a blank box</w:t>
      </w:r>
    </w:p>
    <w:p>
      <w:pPr>
        <w:spacing w:after="120" w:before="0"/>
      </w:pPr>
      <w:r>
        <w:rPr>
          <w:sz w:val="22"/>
          <w:szCs w:val="22"/>
        </w:rPr>
        <w:t xml:space="preserve">to draw in): tree, hill, rain, root, bare slope, landslide, and so on.</w:t>
      </w:r>
    </w:p>
    <w:p>
      <w:pPr>
        <w:pStyle w:val="ListParagraph"/>
        <w:numPr>
          <w:ilvl w:val="0"/>
          <w:numId w:val="1"/>
        </w:numPr>
        <w:spacing w:after="60"/>
      </w:pPr>
      <w:r>
        <w:rPr>
          <w:sz w:val="22"/>
          <w:szCs w:val="22"/>
        </w:rPr>
        <w:t xml:space="preserve">A simple picture for each source card if you can (a bare hill in the rain, roots holding soil, people</w:t>
      </w:r>
    </w:p>
    <w:p>
      <w:pPr>
        <w:spacing w:after="120" w:before="0"/>
      </w:pPr>
      <w:r>
        <w:rPr>
          <w:sz w:val="22"/>
          <w:szCs w:val="22"/>
        </w:rPr>
        <w:t xml:space="preserve">planting on a slope). These help learners who are not yet reading follow the source.</w:t>
      </w:r>
    </w:p>
    <w:p>
      <w:pPr>
        <w:spacing w:after="120" w:before="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spacing w:after="100" w:before="240"/>
      </w:pPr>
      <w:r>
        <w:rPr>
          <w:b/>
          <w:bCs/>
          <w:color w:val="1F3A5F"/>
          <w:sz w:val="30"/>
          <w:szCs w:val="30"/>
        </w:rPr>
        <w:t xml:space="preserve">Safeguarding and protection</w:t>
      </w:r>
    </w:p>
    <w:p>
      <w:pPr>
        <w:pStyle w:val="Heading2"/>
        <w:spacing w:after="80" w:before="200"/>
      </w:pPr>
      <w:r>
        <w:rPr>
          <w:b/>
          <w:bCs/>
          <w:color w:val="7A3B69"/>
          <w:sz w:val="26"/>
          <w:szCs w:val="26"/>
        </w:rPr>
        <w:t xml:space="preserve">Protection comes first</w:t>
      </w:r>
    </w:p>
    <w:p>
      <w:pPr>
        <w:spacing w:after="120" w:before="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spacing w:after="80" w:before="200"/>
      </w:pPr>
      <w:r>
        <w:rPr>
          <w:b/>
          <w:bCs/>
          <w:color w:val="7A3B69"/>
          <w:sz w:val="26"/>
          <w:szCs w:val="26"/>
        </w:rPr>
        <w:t xml:space="preserve">Before you start</w:t>
      </w:r>
    </w:p>
    <w:p>
      <w:pPr>
        <w:pStyle w:val="ListParagraph"/>
        <w:numPr>
          <w:ilvl w:val="0"/>
          <w:numId w:val="1"/>
        </w:numPr>
        <w:spacing w:after="60"/>
      </w:pPr>
      <w:r>
        <w:rPr>
          <w:sz w:val="22"/>
          <w:szCs w:val="22"/>
        </w:rPr>
        <w:t xml:space="preserve">Agree the referral pathway with your programme: who you turn to, and how, if a learner — or someone a</w:t>
      </w:r>
    </w:p>
    <w:p>
      <w:pPr>
        <w:spacing w:after="120" w:before="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60"/>
      </w:pPr>
      <w:r>
        <w:rPr>
          <w:sz w:val="22"/>
          <w:szCs w:val="22"/>
        </w:rPr>
        <w:t xml:space="preserve">Know your step-back options: how a learner can pause, leave the space, or sit out an activity without</w:t>
      </w:r>
    </w:p>
    <w:p>
      <w:pPr>
        <w:spacing w:after="120" w:before="0"/>
      </w:pPr>
      <w:r>
        <w:rPr>
          <w:sz w:val="22"/>
          <w:szCs w:val="22"/>
        </w:rPr>
        <w:t xml:space="preserve">being singled out or questioned.</w:t>
      </w:r>
    </w:p>
    <w:p>
      <w:pPr>
        <w:pStyle w:val="ListParagraph"/>
        <w:numPr>
          <w:ilvl w:val="0"/>
          <w:numId w:val="1"/>
        </w:numPr>
        <w:spacing w:after="60"/>
      </w:pPr>
      <w:r>
        <w:rPr>
          <w:sz w:val="22"/>
          <w:szCs w:val="22"/>
        </w:rPr>
        <w:t xml:space="preserve">Plan the fieldwork with the community, not alone (see "Girls and gathering" below).</w:t>
      </w:r>
    </w:p>
    <w:p>
      <w:pPr>
        <w:pStyle w:val="Heading2"/>
        <w:spacing w:after="80" w:before="200"/>
      </w:pPr>
      <w:r>
        <w:rPr>
          <w:b/>
          <w:bCs/>
          <w:color w:val="7A3B69"/>
          <w:sz w:val="26"/>
          <w:szCs w:val="26"/>
        </w:rPr>
        <w:t xml:space="preserve">The tone: hopeful, not disaster</w:t>
      </w:r>
    </w:p>
    <w:p>
      <w:pPr>
        <w:spacing w:after="120" w:before="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spacing w:after="80" w:before="200"/>
      </w:pPr>
      <w:r>
        <w:rPr>
          <w:b/>
          <w:bCs/>
          <w:color w:val="7A3B69"/>
          <w:sz w:val="26"/>
          <w:szCs w:val="26"/>
        </w:rPr>
        <w:t xml:space="preserve">No learner speaks from their own life</w:t>
      </w:r>
    </w:p>
    <w:p>
      <w:pPr>
        <w:spacing w:after="120" w:before="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spacing w:after="80" w:before="200"/>
      </w:pPr>
      <w:r>
        <w:rPr>
          <w:b/>
          <w:bCs/>
          <w:color w:val="7A3B69"/>
          <w:sz w:val="26"/>
          <w:szCs w:val="26"/>
        </w:rPr>
        <w:t xml:space="preserve">Research ethics: consent and no names</w:t>
      </w:r>
    </w:p>
    <w:p>
      <w:pPr>
        <w:spacing w:after="120" w:before="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60"/>
      </w:pPr>
      <w:r>
        <w:rPr>
          <w:sz w:val="22"/>
          <w:szCs w:val="22"/>
        </w:rPr>
        <w:t xml:space="preserve">Ask before you ask: "May I ask you some questions?"</w:t>
      </w:r>
    </w:p>
    <w:p>
      <w:pPr>
        <w:pStyle w:val="ListParagraph"/>
        <w:numPr>
          <w:ilvl w:val="0"/>
          <w:numId w:val="1"/>
        </w:numPr>
        <w:spacing w:after="60"/>
      </w:pPr>
      <w:r>
        <w:rPr>
          <w:sz w:val="22"/>
          <w:szCs w:val="22"/>
        </w:rPr>
        <w:t xml:space="preserve">Explain why you are asking.</w:t>
      </w:r>
    </w:p>
    <w:p>
      <w:pPr>
        <w:pStyle w:val="ListParagraph"/>
        <w:numPr>
          <w:ilvl w:val="0"/>
          <w:numId w:val="1"/>
        </w:numPr>
        <w:spacing w:after="60"/>
      </w:pPr>
      <w:r>
        <w:rPr>
          <w:sz w:val="22"/>
          <w:szCs w:val="22"/>
        </w:rPr>
        <w:t xml:space="preserve">Let people say no, or stop at any time, with no pressure.</w:t>
      </w:r>
    </w:p>
    <w:p>
      <w:pPr>
        <w:pStyle w:val="ListParagraph"/>
        <w:numPr>
          <w:ilvl w:val="0"/>
          <w:numId w:val="1"/>
        </w:numPr>
        <w:spacing w:after="60"/>
      </w:pPr>
      <w:r>
        <w:rPr>
          <w:sz w:val="22"/>
          <w:szCs w:val="22"/>
        </w:rPr>
        <w:t xml:space="preserve">Use no names — never record who said what.</w:t>
      </w:r>
    </w:p>
    <w:p>
      <w:pPr>
        <w:pStyle w:val="ListParagraph"/>
        <w:numPr>
          <w:ilvl w:val="0"/>
          <w:numId w:val="1"/>
        </w:numPr>
        <w:spacing w:after="60"/>
      </w:pPr>
      <w:r>
        <w:rPr>
          <w:sz w:val="22"/>
          <w:szCs w:val="22"/>
        </w:rPr>
        <w:t xml:space="preserve">Put no one at risk to get an answer, including yourself.</w:t>
      </w:r>
    </w:p>
    <w:p>
      <w:pPr>
        <w:spacing w:after="120" w:before="0"/>
      </w:pPr>
      <w:r>
        <w:rPr>
          <w:sz w:val="22"/>
          <w:szCs w:val="22"/>
        </w:rPr>
        <w:t xml:space="preserve">Protect the people learners speak to as carefully as the learners themselves: anonymity, consent, and do no harm.</w:t>
      </w:r>
    </w:p>
    <w:p>
      <w:pPr>
        <w:pStyle w:val="Heading2"/>
        <w:spacing w:after="80" w:before="200"/>
      </w:pPr>
      <w:r>
        <w:rPr>
          <w:b/>
          <w:bCs/>
          <w:color w:val="7A3B69"/>
          <w:sz w:val="26"/>
          <w:szCs w:val="26"/>
        </w:rPr>
        <w:t xml:space="preserve">Girls and gathering</w:t>
      </w:r>
    </w:p>
    <w:p>
      <w:pPr>
        <w:spacing w:after="120" w:before="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60"/>
      </w:pPr>
      <w:r>
        <w:rPr>
          <w:sz w:val="22"/>
          <w:szCs w:val="22"/>
        </w:rPr>
        <w:t xml:space="preserve">Girls gather from people in their own home and from women in their close networks.</w:t>
      </w:r>
    </w:p>
    <w:p>
      <w:pPr>
        <w:pStyle w:val="ListParagraph"/>
        <w:numPr>
          <w:ilvl w:val="0"/>
          <w:numId w:val="1"/>
        </w:numPr>
        <w:spacing w:after="60"/>
      </w:pPr>
      <w:r>
        <w:rPr>
          <w:sz w:val="22"/>
          <w:szCs w:val="22"/>
        </w:rPr>
        <w:t xml:space="preserve">Or girls gather accompanied by a female facilitator or a trusted female relative.</w:t>
      </w:r>
    </w:p>
    <w:p>
      <w:pPr>
        <w:pStyle w:val="ListParagraph"/>
        <w:numPr>
          <w:ilvl w:val="0"/>
          <w:numId w:val="1"/>
        </w:numPr>
        <w:spacing w:after="60"/>
      </w:pPr>
      <w:r>
        <w:rPr>
          <w:sz w:val="22"/>
          <w:szCs w:val="22"/>
        </w:rPr>
        <w:t xml:space="preserve">Or girls contribute through careful observation and through the evidence the group gathers together.</w:t>
      </w:r>
    </w:p>
    <w:p>
      <w:pPr>
        <w:spacing w:after="120" w:before="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spacing w:after="80" w:before="200"/>
      </w:pPr>
      <w:r>
        <w:rPr>
          <w:b/>
          <w:bCs/>
          <w:color w:val="7A3B69"/>
          <w:sz w:val="26"/>
          <w:szCs w:val="26"/>
        </w:rPr>
        <w:t xml:space="preserve">If a learner becomes distressed</w:t>
      </w:r>
    </w:p>
    <w:p>
      <w:pPr>
        <w:pStyle w:val="ListParagraph"/>
        <w:numPr>
          <w:ilvl w:val="0"/>
          <w:numId w:val="1"/>
        </w:numPr>
        <w:spacing w:after="60"/>
      </w:pPr>
      <w:r>
        <w:rPr>
          <w:sz w:val="22"/>
          <w:szCs w:val="22"/>
        </w:rPr>
        <w:t xml:space="preserve">Stop the activity for that learner. Do not press them to continue or to explain.</w:t>
      </w:r>
    </w:p>
    <w:p>
      <w:pPr>
        <w:pStyle w:val="ListParagraph"/>
        <w:numPr>
          <w:ilvl w:val="0"/>
          <w:numId w:val="1"/>
        </w:numPr>
        <w:spacing w:after="60"/>
      </w:pPr>
      <w:r>
        <w:rPr>
          <w:sz w:val="22"/>
          <w:szCs w:val="22"/>
        </w:rPr>
        <w:t xml:space="preserve">Offer a quiet break and a calm, familiar presence. Let a friend sit with them if that helps.</w:t>
      </w:r>
    </w:p>
    <w:p>
      <w:pPr>
        <w:pStyle w:val="ListParagraph"/>
        <w:numPr>
          <w:ilvl w:val="0"/>
          <w:numId w:val="1"/>
        </w:numPr>
        <w:spacing w:after="60"/>
      </w:pPr>
      <w:r>
        <w:rPr>
          <w:sz w:val="22"/>
          <w:szCs w:val="22"/>
        </w:rPr>
        <w:t xml:space="preserve">Do not probe for details. Listen if they choose to speak; reassure them it was right to.</w:t>
      </w:r>
    </w:p>
    <w:p>
      <w:pPr>
        <w:pStyle w:val="ListParagraph"/>
        <w:numPr>
          <w:ilvl w:val="0"/>
          <w:numId w:val="1"/>
        </w:numPr>
        <w:spacing w:after="60"/>
      </w:pPr>
      <w:r>
        <w:rPr>
          <w:sz w:val="22"/>
          <w:szCs w:val="22"/>
        </w:rPr>
        <w:t xml:space="preserve">Follow up privately, and use your referral pathway for anything beyond ordinary upset.</w:t>
      </w:r>
    </w:p>
    <w:p>
      <w:pPr>
        <w:pStyle w:val="ListParagraph"/>
        <w:numPr>
          <w:ilvl w:val="0"/>
          <w:numId w:val="1"/>
        </w:numPr>
        <w:spacing w:after="60"/>
      </w:pPr>
      <w:r>
        <w:rPr>
          <w:sz w:val="22"/>
          <w:szCs w:val="22"/>
        </w:rPr>
        <w:t xml:space="preserve">Look after yourself too, and debrief with a colleague — this work can be heavy.</w:t>
      </w:r>
    </w:p>
    <w:p>
      <w:pPr>
        <w:pStyle w:val="Heading2"/>
        <w:spacing w:after="80" w:before="200"/>
      </w:pPr>
      <w:r>
        <w:rPr>
          <w:b/>
          <w:bCs/>
          <w:color w:val="7A3B69"/>
          <w:sz w:val="26"/>
          <w:szCs w:val="26"/>
        </w:rPr>
        <w:t xml:space="preserve">When gathering is disrupted</w:t>
      </w:r>
    </w:p>
    <w:p>
      <w:pPr>
        <w:spacing w:after="120" w:before="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model it first — support stays high</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 — you and the learners, support stays high</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four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four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four things to find out  (50 min)</w:t>
      </w:r>
    </w:p>
    <w:p>
      <w:pPr>
        <w:spacing w:after="120" w:before="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ListParagraph"/>
        <w:numPr>
          <w:ilvl w:val="0"/>
          <w:numId w:val="1"/>
        </w:numPr>
        <w:spacing w:after="60"/>
      </w:pPr>
      <w:r>
        <w:rPr>
          <w:sz w:val="22"/>
          <w:szCs w:val="22"/>
        </w:rPr>
        <w:t xml:space="preserve">What are people doing to help our hills — and is it working?</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four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 — you and the learners, support stays high</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four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four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A gender-responsive gathering plan, so girls can take part safely — see the facilitation notes.</w:t>
      </w:r>
    </w:p>
    <w:p>
      <w:pPr>
        <w:pStyle w:val="ListParagraph"/>
        <w:numPr>
          <w:ilvl w:val="0"/>
          <w:numId w:val="1"/>
        </w:numPr>
        <w:spacing w:after="6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 — you and the learners, support stays high</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three checks a researcher makes of any source — leading with checking it against others.</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Three checks a researcher makes  (30 min)</w:t>
      </w:r>
    </w:p>
    <w:p>
      <w:pPr>
        <w:spacing w:after="120" w:before="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could they have a reason to tell it one way?</w:t>
      </w:r>
    </w:p>
    <w:p>
      <w:pPr>
        <w:pStyle w:val="ListParagraph"/>
        <w:numPr>
          <w:ilvl w:val="0"/>
          <w:numId w:val="1"/>
        </w:numPr>
        <w:spacing w:after="60"/>
      </w:pPr>
      <w:r>
        <w:rPr>
          <w:sz w:val="22"/>
          <w:szCs w:val="22"/>
        </w:rPr>
        <w:t xml:space="preserve">Do they show how they know — and is it still true?</w:t>
      </w:r>
    </w:p>
    <w:p>
      <w:pPr>
        <w:pStyle w:val="ListParagraph"/>
        <w:numPr>
          <w:ilvl w:val="0"/>
          <w:numId w:val="1"/>
        </w:numPr>
        <w:spacing w:after="60"/>
      </w:pPr>
      <w:r>
        <w:rPr>
          <w:sz w:val="22"/>
          <w:szCs w:val="22"/>
        </w:rPr>
        <w:t xml:space="preserve">Does it agree with the other sources, and with what we found ourselves?</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Dig for the root cause</w:t>
      </w:r>
    </w:p>
    <w:p>
      <w:pPr>
        <w:spacing w:after="100" w:before="0"/>
      </w:pPr>
      <w:r>
        <w:rPr>
          <w:b/>
          <w:bCs/>
          <w:color w:val="6E7A2E"/>
          <w:sz w:val="20"/>
          <w:szCs w:val="20"/>
        </w:rPr>
        <w:t xml:space="preserve">Activity   ·   1.5h facilitated   ·   0.5h independent</w:t>
      </w:r>
    </w:p>
    <w:p>
      <w:pPr>
        <w:spacing w:after="120" w:before="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40" w:before="80"/>
      </w:pPr>
      <w:r>
        <w:rPr>
          <w:b/>
          <w:bCs/>
          <w:i/>
          <w:iCs/>
          <w:color w:val="6E7A2E"/>
          <w:sz w:val="21"/>
          <w:szCs w:val="21"/>
        </w:rPr>
        <w:t xml:space="preserve">Activity in the material bank: Dig for the root cause</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pairs or small groups to dig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Take one problem our evidence shows, and ask "why does this happen?" — then ask "why?" of the answer, again and again.</w:t>
      </w:r>
    </w:p>
    <w:p>
      <w:pPr>
        <w:pStyle w:val="ListParagraph"/>
        <w:numPr>
          <w:ilvl w:val="0"/>
          <w:numId w:val="1"/>
        </w:numPr>
        <w:spacing w:after="60"/>
      </w:pPr>
      <w:r>
        <w:rPr>
          <w:sz w:val="22"/>
          <w:szCs w:val="22"/>
        </w:rPr>
        <w:t xml:space="preserve">Draw the chain of whys going downward, until we reach a cause underneath that we cannot easily push past — the root cause.</w:t>
      </w:r>
    </w:p>
    <w:p>
      <w:pPr>
        <w:pStyle w:val="ListParagraph"/>
        <w:numPr>
          <w:ilvl w:val="0"/>
          <w:numId w:val="1"/>
        </w:numPr>
        <w:spacing w:after="60"/>
      </w:pPr>
      <w:r>
        <w:rPr>
          <w:sz w:val="22"/>
          <w:szCs w:val="22"/>
        </w:rPr>
        <w:t xml:space="preserve">Check the root cause against our evidence, and notice that one problem can have more than one root.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themes and patterns from "Sort and theme what we found" — the problems our evidence surfaced.</w:t>
      </w:r>
    </w:p>
    <w:p>
      <w:pPr>
        <w:pStyle w:val="ListParagraph"/>
        <w:numPr>
          <w:ilvl w:val="0"/>
          <w:numId w:val="1"/>
        </w:numPr>
        <w:spacing w:after="60"/>
      </w:pPr>
      <w:r>
        <w:rPr>
          <w:sz w:val="22"/>
          <w:szCs w:val="22"/>
        </w:rPr>
        <w:t xml:space="preserve">Wall or floor space to draw a chain of "whys" going down (or a tree with its roots).</w:t>
      </w:r>
    </w:p>
    <w:p>
      <w:pPr>
        <w:pStyle w:val="ListParagraph"/>
        <w:numPr>
          <w:ilvl w:val="0"/>
          <w:numId w:val="1"/>
        </w:numPr>
        <w:spacing w:after="60"/>
      </w:pPr>
      <w:r>
        <w:rPr>
          <w:sz w:val="22"/>
          <w:szCs w:val="22"/>
        </w:rPr>
        <w:t xml:space="preserve">The community map and evidence log nearby, to check each "why" against what we found.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3"/>
        <w:spacing w:after="60" w:before="160"/>
      </w:pPr>
      <w:r>
        <w:rPr>
          <w:b/>
          <w:bCs/>
          <w:color w:val="1F3A5F"/>
          <w:sz w:val="23"/>
          <w:szCs w:val="23"/>
        </w:rPr>
        <w:t xml:space="preserve">Step 1: Pick a problem, and ask the first why  (20 min)</w:t>
      </w:r>
    </w:p>
    <w:p>
      <w:pPr>
        <w:spacing w:after="120" w:before="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problem shall we dig into?</w:t>
      </w:r>
    </w:p>
    <w:p>
      <w:pPr>
        <w:pStyle w:val="ListParagraph"/>
        <w:numPr>
          <w:ilvl w:val="0"/>
          <w:numId w:val="1"/>
        </w:numPr>
        <w:spacing w:after="60"/>
      </w:pPr>
      <w:r>
        <w:rPr>
          <w:sz w:val="22"/>
          <w:szCs w:val="22"/>
        </w:rPr>
        <w:t xml:space="preserve">Why does this happen?</w:t>
      </w:r>
    </w:p>
    <w:p>
      <w:pPr>
        <w:pStyle w:val="Heading3"/>
        <w:spacing w:after="60" w:before="160"/>
      </w:pPr>
      <w:r>
        <w:rPr>
          <w:b/>
          <w:bCs/>
          <w:color w:val="1F3A5F"/>
          <w:sz w:val="23"/>
          <w:szCs w:val="23"/>
        </w:rPr>
        <w:t xml:space="preserve">Step 2: Keep asking why, going down  (40 min)</w:t>
      </w:r>
    </w:p>
    <w:p>
      <w:pPr>
        <w:spacing w:after="120" w:before="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And why is that?</w:t>
      </w:r>
    </w:p>
    <w:p>
      <w:pPr>
        <w:pStyle w:val="ListParagraph"/>
        <w:numPr>
          <w:ilvl w:val="0"/>
          <w:numId w:val="1"/>
        </w:numPr>
        <w:spacing w:after="60"/>
      </w:pPr>
      <w:r>
        <w:rPr>
          <w:sz w:val="22"/>
          <w:szCs w:val="22"/>
        </w:rPr>
        <w:t xml:space="preserve">Is that the real cause, or is there something underneath it?</w:t>
      </w:r>
    </w:p>
    <w:p>
      <w:pPr>
        <w:pStyle w:val="Heading3"/>
        <w:spacing w:after="60" w:before="160"/>
      </w:pPr>
      <w:r>
        <w:rPr>
          <w:b/>
          <w:bCs/>
          <w:color w:val="1F3A5F"/>
          <w:sz w:val="23"/>
          <w:szCs w:val="23"/>
        </w:rPr>
        <w:t xml:space="preserve">Step 3: Find the root, and check it  (30 min)</w:t>
      </w:r>
    </w:p>
    <w:p>
      <w:pPr>
        <w:spacing w:after="120" w:before="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cause underneath all the others?</w:t>
      </w:r>
    </w:p>
    <w:p>
      <w:pPr>
        <w:pStyle w:val="ListParagraph"/>
        <w:numPr>
          <w:ilvl w:val="0"/>
          <w:numId w:val="1"/>
        </w:numPr>
        <w:spacing w:after="60"/>
      </w:pPr>
      <w:r>
        <w:rPr>
          <w:sz w:val="22"/>
          <w:szCs w:val="22"/>
        </w:rPr>
        <w:t xml:space="preserve">Does our evidence support this root cause?</w:t>
      </w:r>
    </w:p>
    <w:p>
      <w:pPr>
        <w:spacing w:after="120"/>
      </w:pPr>
      <w:r>
        <w:rPr>
          <w:b/>
          <w:bCs/>
          <w:color w:val="7A3B69"/>
          <w:sz w:val="22"/>
          <w:szCs w:val="22"/>
        </w:rPr>
        <w:t xml:space="preserve">Student worksheet: </w:t>
      </w:r>
      <w:r>
        <w:rPr>
          <w:sz w:val="22"/>
          <w:szCs w:val="22"/>
        </w:rPr>
        <w:t xml:space="preserve">Dig for the root cause (in the student workbook)</w:t>
      </w:r>
    </w:p>
    <w:p>
      <w:pPr>
        <w:spacing w:after="12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6"/>
        </w:pBdr>
        <w:spacing w:after="120"/>
      </w:pPr>
    </w:p>
    <w:p>
      <w:pPr>
        <w:pStyle w:val="Heading2"/>
        <w:spacing w:after="80" w:before="200"/>
      </w:pPr>
      <w:r>
        <w:rPr>
          <w:b/>
          <w:bCs/>
          <w:color w:val="7A3B69"/>
          <w:sz w:val="26"/>
          <w:szCs w:val="26"/>
        </w:rPr>
        <w:t xml:space="preserve">Who, what, and why — looking deeper</w:t>
      </w:r>
    </w:p>
    <w:p>
      <w:pPr>
        <w:spacing w:after="100" w:before="0"/>
      </w:pPr>
      <w:r>
        <w:rPr>
          <w:b/>
          <w:bCs/>
          <w:color w:val="6E7A2E"/>
          <w:sz w:val="20"/>
          <w:szCs w:val="20"/>
        </w:rPr>
        <w:t xml:space="preserve">Activity   ·   1.5h facilitated   ·   0.5h independent</w:t>
      </w:r>
    </w:p>
    <w:p>
      <w:pPr>
        <w:spacing w:after="120" w:before="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40" w:before="80"/>
      </w:pPr>
      <w:r>
        <w:rPr>
          <w:b/>
          <w:bCs/>
          <w:i/>
          <w:iCs/>
          <w:color w:val="6E7A2E"/>
          <w:sz w:val="21"/>
          <w:szCs w:val="21"/>
        </w:rPr>
        <w:t xml:space="preserve">Activity in the material bank: Who, what, and why — looking deeper</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with three areas on the wall or floor; pairs feed each one</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60"/>
      </w:pPr>
      <w:r>
        <w:rPr>
          <w:sz w:val="22"/>
          <w:szCs w:val="22"/>
        </w:rPr>
        <w:t xml:space="preserve">Ask what people believe or feel that causes the problem, or that could help solve it.</w:t>
      </w:r>
    </w:p>
    <w:p>
      <w:pPr>
        <w:pStyle w:val="ListParagraph"/>
        <w:numPr>
          <w:ilvl w:val="0"/>
          <w:numId w:val="1"/>
        </w:numPr>
        <w:spacing w:after="60"/>
      </w:pPr>
      <w:r>
        <w:rPr>
          <w:sz w:val="22"/>
          <w:szCs w:val="22"/>
        </w:rPr>
        <w:t xml:space="preserve">Ask who or what is helped, and who or what is hurt, by the problem and by what is being done about it.</w:t>
      </w:r>
    </w:p>
    <w:p>
      <w:pPr>
        <w:pStyle w:val="ListParagraph"/>
        <w:numPr>
          <w:ilvl w:val="0"/>
          <w:numId w:val="1"/>
        </w:numPr>
        <w:spacing w:after="60"/>
      </w:pPr>
      <w:r>
        <w:rPr>
          <w:sz w:val="22"/>
          <w:szCs w:val="22"/>
        </w:rPr>
        <w:t xml:space="preserve">Stand back and notice what these three lenses show that the evidence alone did not.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Three areas marked on the wall or floor — one for each question — where cards and drawings can be placed.</w:t>
      </w:r>
    </w:p>
    <w:p>
      <w:pPr>
        <w:pStyle w:val="ListParagraph"/>
        <w:numPr>
          <w:ilvl w:val="0"/>
          <w:numId w:val="1"/>
        </w:numPr>
        <w:spacing w:after="60"/>
      </w:pPr>
      <w:r>
        <w:rPr>
          <w:sz w:val="22"/>
          <w:szCs w:val="22"/>
        </w:rPr>
        <w:t xml:space="preserve">The themes and evidence from the earlier analysis, and the community map, nearby.</w:t>
      </w:r>
    </w:p>
    <w:p>
      <w:pPr>
        <w:pStyle w:val="ListParagraph"/>
        <w:numPr>
          <w:ilvl w:val="0"/>
          <w:numId w:val="1"/>
        </w:numPr>
        <w:spacing w:after="60"/>
      </w:pPr>
      <w:r>
        <w:rPr>
          <w:sz w:val="22"/>
          <w:szCs w:val="22"/>
        </w:rPr>
        <w:t xml:space="preserve">Cards or scraps of paper to write or draw on and move around.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3"/>
        <w:spacing w:after="60" w:before="160"/>
      </w:pPr>
      <w:r>
        <w:rPr>
          <w:b/>
          <w:bCs/>
          <w:color w:val="1F3A5F"/>
          <w:sz w:val="23"/>
          <w:szCs w:val="23"/>
        </w:rPr>
        <w:t xml:space="preserve">Step 1: Who or what has power here?  (30 min)</w:t>
      </w:r>
    </w:p>
    <w:p>
      <w:pPr>
        <w:spacing w:after="120" w:before="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can change this — even a little?</w:t>
      </w:r>
    </w:p>
    <w:p>
      <w:pPr>
        <w:pStyle w:val="ListParagraph"/>
        <w:numPr>
          <w:ilvl w:val="0"/>
          <w:numId w:val="1"/>
        </w:numPr>
        <w:spacing w:after="60"/>
      </w:pPr>
      <w:r>
        <w:rPr>
          <w:sz w:val="22"/>
          <w:szCs w:val="22"/>
        </w:rPr>
        <w:t xml:space="preserve">What has power here that is not a person (the rain, the hills)?</w:t>
      </w:r>
    </w:p>
    <w:p>
      <w:pPr>
        <w:pStyle w:val="Heading3"/>
        <w:spacing w:after="60" w:before="160"/>
      </w:pPr>
      <w:r>
        <w:rPr>
          <w:b/>
          <w:bCs/>
          <w:color w:val="1F3A5F"/>
          <w:sz w:val="23"/>
          <w:szCs w:val="23"/>
        </w:rPr>
        <w:t xml:space="preserve">Step 2: What do people believe or feel?  (30 min)</w:t>
      </w:r>
    </w:p>
    <w:p>
      <w:pPr>
        <w:spacing w:after="120" w:before="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people believe that makes the problem harder to solve?</w:t>
      </w:r>
    </w:p>
    <w:p>
      <w:pPr>
        <w:pStyle w:val="ListParagraph"/>
        <w:numPr>
          <w:ilvl w:val="0"/>
          <w:numId w:val="1"/>
        </w:numPr>
        <w:spacing w:after="60"/>
      </w:pPr>
      <w:r>
        <w:rPr>
          <w:sz w:val="22"/>
          <w:szCs w:val="22"/>
        </w:rPr>
        <w:t xml:space="preserve">What belief could help solve it?</w:t>
      </w:r>
    </w:p>
    <w:p>
      <w:pPr>
        <w:pStyle w:val="Heading3"/>
        <w:spacing w:after="60" w:before="160"/>
      </w:pPr>
      <w:r>
        <w:rPr>
          <w:b/>
          <w:bCs/>
          <w:color w:val="1F3A5F"/>
          <w:sz w:val="23"/>
          <w:szCs w:val="23"/>
        </w:rPr>
        <w:t xml:space="preserve">Step 3: Who is helped, and who is hurt?  (20 min)</w:t>
      </w:r>
    </w:p>
    <w:p>
      <w:pPr>
        <w:spacing w:after="120" w:before="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suffers most from this problem?</w:t>
      </w:r>
    </w:p>
    <w:p>
      <w:pPr>
        <w:pStyle w:val="ListParagraph"/>
        <w:numPr>
          <w:ilvl w:val="0"/>
          <w:numId w:val="1"/>
        </w:numPr>
        <w:spacing w:after="60"/>
      </w:pPr>
      <w:r>
        <w:rPr>
          <w:sz w:val="22"/>
          <w:szCs w:val="22"/>
        </w:rPr>
        <w:t xml:space="preserve">Who is helped when the hills come back?</w:t>
      </w:r>
    </w:p>
    <w:p>
      <w:pPr>
        <w:pStyle w:val="Heading3"/>
        <w:spacing w:after="60" w:before="160"/>
      </w:pPr>
      <w:r>
        <w:rPr>
          <w:b/>
          <w:bCs/>
          <w:color w:val="1F3A5F"/>
          <w:sz w:val="23"/>
          <w:szCs w:val="23"/>
        </w:rPr>
        <w:t xml:space="preserve">Step 4: Stand back — what do we see now?  (10 min)</w:t>
      </w:r>
    </w:p>
    <w:p>
      <w:pPr>
        <w:spacing w:after="120" w:before="0"/>
      </w:pPr>
      <w:r>
        <w:rPr>
          <w:sz w:val="22"/>
          <w:szCs w:val="22"/>
        </w:rPr>
        <w:t xml:space="preserve">Look at all three areas together. What do power, beliefs, and who-wins-and-loses show us that the plain evidence did not? Draw one or two things the group notices — these feed our insights.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looking deeper show that our evidence alone did not?</w:t>
      </w:r>
    </w:p>
    <w:p>
      <w:pPr>
        <w:spacing w:after="120"/>
      </w:pPr>
      <w:r>
        <w:rPr>
          <w:b/>
          <w:bCs/>
          <w:color w:val="7A3B69"/>
          <w:sz w:val="22"/>
          <w:szCs w:val="22"/>
        </w:rPr>
        <w:t xml:space="preserve">Student worksheet: </w:t>
      </w:r>
      <w:r>
        <w:rPr>
          <w:sz w:val="22"/>
          <w:szCs w:val="22"/>
        </w:rPr>
        <w:t xml:space="preserve">Looking deeper — power, beliefs, who is helped and hurt (in the student workbook)</w:t>
      </w:r>
    </w:p>
    <w:p>
      <w:pPr>
        <w:spacing w:after="12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20" w:before="0"/>
      </w:pPr>
      <w:r>
        <w:rPr>
          <w:i/>
          <w:i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own it — support stays high</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own it — support stays high</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Assessing the investigation (FSI1)</w:t>
      </w:r>
    </w:p>
    <w:p>
      <w:pPr>
        <w:pStyle w:val="Heading2"/>
        <w:spacing w:after="80" w:before="200"/>
      </w:pPr>
      <w:r>
        <w:rPr>
          <w:b/>
          <w:bCs/>
          <w:color w:val="7A3B69"/>
          <w:sz w:val="26"/>
          <w:szCs w:val="26"/>
        </w:rPr>
        <w:t xml:space="preserve">What is assessed, and how</w:t>
      </w:r>
    </w:p>
    <w:p>
      <w:pPr>
        <w:spacing w:after="120" w:before="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20" w:before="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20" w:before="0"/>
      </w:pPr>
      <w:r>
        <w:rPr>
          <w:sz w:val="22"/>
          <w:szCs w:val="22"/>
        </w:rPr>
        <w:t xml:space="preserve">Assess at two points:</w:t>
      </w:r>
    </w:p>
    <w:p>
      <w:pPr>
        <w:pStyle w:val="ListParagraph"/>
        <w:numPr>
          <w:ilvl w:val="0"/>
          <w:numId w:val="1"/>
        </w:numPr>
        <w:spacing w:after="60"/>
      </w:pPr>
      <w:r>
        <w:rPr>
          <w:sz w:val="22"/>
          <w:szCs w:val="22"/>
        </w:rPr>
        <w:t xml:space="preserve">Midway (formative), around the end of the "Plan and conduct research" phase — to see where each</w:t>
      </w:r>
    </w:p>
    <w:p>
      <w:pPr>
        <w:spacing w:after="120" w:before="0"/>
      </w:pPr>
      <w:r>
        <w:rPr>
          <w:sz w:val="22"/>
          <w:szCs w:val="22"/>
        </w:rPr>
        <w:t xml:space="preserve">learner is and adjust your support.</w:t>
      </w:r>
    </w:p>
    <w:p>
      <w:pPr>
        <w:pStyle w:val="ListParagraph"/>
        <w:numPr>
          <w:ilvl w:val="0"/>
          <w:numId w:val="1"/>
        </w:numPr>
        <w:spacing w:after="60"/>
      </w:pPr>
      <w:r>
        <w:rPr>
          <w:sz w:val="22"/>
          <w:szCs w:val="22"/>
        </w:rPr>
        <w:t xml:space="preserve">At the end (summative), during the showcase — the judgement that informs the readiness decision.</w:t>
      </w:r>
    </w:p>
    <w:p>
      <w:pPr>
        <w:spacing w:after="120" w:before="0"/>
      </w:pPr>
      <w:r>
        <w:rPr>
          <w:sz w:val="22"/>
          <w:szCs w:val="22"/>
        </w:rPr>
        <w:t xml:space="preserve">Do not over-assess. Two considered judgements, built from evidence gathered over time, are worth far more than repeated testing, which this cohort does not need and should not carry.</w:t>
      </w:r>
    </w:p>
    <w:p>
      <w:pPr>
        <w:pStyle w:val="Heading2"/>
        <w:spacing w:after="80" w:before="200"/>
      </w:pPr>
      <w:r>
        <w:rPr>
          <w:b/>
          <w:bCs/>
          <w:color w:val="7A3B69"/>
          <w:sz w:val="26"/>
          <w:szCs w:val="26"/>
        </w:rPr>
        <w:t xml:space="preserve">What FSI1 looks like across the research cycle</w:t>
      </w:r>
    </w:p>
    <w:p>
      <w:pPr>
        <w:spacing w:after="120" w:before="0"/>
      </w:pPr>
      <w:r>
        <w:rPr>
          <w:sz w:val="22"/>
          <w:szCs w:val="22"/>
        </w:rPr>
        <w:t xml:space="preserve">Look for the whole cycle, not one moment. A learner achieving the goal, at this level:</w:t>
      </w:r>
    </w:p>
    <w:p>
      <w:pPr>
        <w:pStyle w:val="ListParagraph"/>
        <w:numPr>
          <w:ilvl w:val="0"/>
          <w:numId w:val="1"/>
        </w:numPr>
        <w:spacing w:after="60"/>
      </w:pPr>
      <w:r>
        <w:rPr>
          <w:sz w:val="22"/>
          <w:szCs w:val="22"/>
        </w:rPr>
        <w:t xml:space="preserve">Frames a researchable focus — makes the given question their own and turns it into things they can</w:t>
      </w:r>
    </w:p>
    <w:p>
      <w:pPr>
        <w:spacing w:after="120" w:before="0"/>
      </w:pPr>
      <w:r>
        <w:rPr>
          <w:sz w:val="22"/>
          <w:szCs w:val="22"/>
        </w:rPr>
        <w:t xml:space="preserve">actually find out.</w:t>
      </w:r>
    </w:p>
    <w:p>
      <w:pPr>
        <w:pStyle w:val="ListParagraph"/>
        <w:numPr>
          <w:ilvl w:val="0"/>
          <w:numId w:val="1"/>
        </w:numPr>
        <w:spacing w:after="60"/>
      </w:pPr>
      <w:r>
        <w:rPr>
          <w:sz w:val="22"/>
          <w:szCs w:val="22"/>
        </w:rPr>
        <w:t xml:space="preserve">Gathers evidence ethically — asks and looks (primary) and reads the source pack (secondary), with</w:t>
      </w:r>
    </w:p>
    <w:p>
      <w:pPr>
        <w:spacing w:after="120" w:before="0"/>
      </w:pPr>
      <w:r>
        <w:rPr>
          <w:sz w:val="22"/>
          <w:szCs w:val="22"/>
        </w:rPr>
        <w:t xml:space="preserve">consent and no names.</w:t>
      </w:r>
    </w:p>
    <w:p>
      <w:pPr>
        <w:pStyle w:val="ListParagraph"/>
        <w:numPr>
          <w:ilvl w:val="0"/>
          <w:numId w:val="1"/>
        </w:numPr>
        <w:spacing w:after="60"/>
      </w:pPr>
      <w:r>
        <w:rPr>
          <w:sz w:val="22"/>
          <w:szCs w:val="22"/>
        </w:rPr>
        <w:t xml:space="preserve">Weighs the evidence — checks a source against others and against what they found, rather than</w:t>
      </w:r>
    </w:p>
    <w:p>
      <w:pPr>
        <w:spacing w:after="120" w:before="0"/>
      </w:pPr>
      <w:r>
        <w:rPr>
          <w:sz w:val="22"/>
          <w:szCs w:val="22"/>
        </w:rPr>
        <w:t xml:space="preserve">believing whatever sounded good.</w:t>
      </w:r>
    </w:p>
    <w:p>
      <w:pPr>
        <w:pStyle w:val="ListParagraph"/>
        <w:numPr>
          <w:ilvl w:val="0"/>
          <w:numId w:val="1"/>
        </w:numPr>
        <w:spacing w:after="60"/>
      </w:pPr>
      <w:r>
        <w:rPr>
          <w:sz w:val="22"/>
          <w:szCs w:val="22"/>
        </w:rPr>
        <w:t xml:space="preserve">Develops actionable insight — moves from "what the evidence says" to "what it means, and why it</w:t>
      </w:r>
    </w:p>
    <w:p>
      <w:pPr>
        <w:spacing w:after="120" w:before="0"/>
      </w:pPr>
      <w:r>
        <w:rPr>
          <w:sz w:val="22"/>
          <w:szCs w:val="22"/>
        </w:rPr>
        <w:t xml:space="preserve">matters," backed by evidence.</w:t>
      </w:r>
    </w:p>
    <w:p>
      <w:pPr>
        <w:pStyle w:val="ListParagraph"/>
        <w:numPr>
          <w:ilvl w:val="0"/>
          <w:numId w:val="1"/>
        </w:numPr>
        <w:spacing w:after="60"/>
      </w:pPr>
      <w:r>
        <w:rPr>
          <w:sz w:val="22"/>
          <w:szCs w:val="22"/>
        </w:rPr>
        <w:t xml:space="preserve">Communicates it — shares findings honestly, including their limits, and answers questions about them.</w:t>
      </w:r>
    </w:p>
    <w:p>
      <w:pPr>
        <w:pStyle w:val="Heading2"/>
        <w:spacing w:after="80" w:before="200"/>
      </w:pPr>
      <w:r>
        <w:rPr>
          <w:b/>
          <w:bCs/>
          <w:color w:val="7A3B69"/>
          <w:sz w:val="26"/>
          <w:szCs w:val="26"/>
        </w:rPr>
        <w:t xml:space="preserve">The proficiency scale</w:t>
      </w:r>
    </w:p>
    <w:p>
      <w:pPr>
        <w:spacing w:after="120" w:before="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60"/>
      </w:pPr>
      <w:r>
        <w:rPr>
          <w:sz w:val="22"/>
          <w:szCs w:val="22"/>
        </w:rPr>
        <w:t xml:space="preserve">No Level Awarded (GPA 0.0, no credit). Does not have a rationale for what they would do to achieve</w:t>
      </w:r>
    </w:p>
    <w:p>
      <w:pPr>
        <w:spacing w:after="120" w:before="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60"/>
      </w:pPr>
      <w:r>
        <w:rPr>
          <w:sz w:val="22"/>
          <w:szCs w:val="22"/>
        </w:rPr>
        <w:t xml:space="preserve">Theorist (GPA 2.0, no credit). Has a rationale for what they would do to achieve the goal in at</w:t>
      </w:r>
    </w:p>
    <w:p>
      <w:pPr>
        <w:spacing w:after="120" w:before="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60"/>
      </w:pPr>
      <w:r>
        <w:rPr>
          <w:sz w:val="22"/>
          <w:szCs w:val="22"/>
        </w:rPr>
        <w:t xml:space="preserve">Practitioner (GPA 3.0, credit awarded). Has attempted to achieve the goal in at least one scenario</w:t>
      </w:r>
    </w:p>
    <w:p>
      <w:pPr>
        <w:spacing w:after="120" w:before="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60"/>
      </w:pPr>
      <w:r>
        <w:rPr>
          <w:sz w:val="22"/>
          <w:szCs w:val="22"/>
        </w:rPr>
        <w:t xml:space="preserve">Reflective Practitioner (GPA 3.5). Has achieved the goal in at least one scenario with a clear</w:t>
      </w:r>
    </w:p>
    <w:p>
      <w:pPr>
        <w:spacing w:after="120" w:before="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60"/>
      </w:pPr>
      <w:r>
        <w:rPr>
          <w:sz w:val="22"/>
          <w:szCs w:val="22"/>
        </w:rPr>
        <w:t xml:space="preserve">Expert Practitioner (GPA 4.0). Has achieved the goal in two or more scenarios with a clear</w:t>
      </w:r>
    </w:p>
    <w:p>
      <w:pPr>
        <w:spacing w:after="120" w:before="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20" w:before="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spacing w:after="80" w:before="200"/>
      </w:pPr>
      <w:r>
        <w:rPr>
          <w:b/>
          <w:bCs/>
          <w:color w:val="7A3B69"/>
          <w:sz w:val="26"/>
          <w:szCs w:val="26"/>
        </w:rPr>
        <w:t xml:space="preserve">Where to find the evidence (in the research book)</w:t>
      </w:r>
    </w:p>
    <w:p>
      <w:pPr>
        <w:spacing w:after="120" w:before="0"/>
      </w:pPr>
      <w:r>
        <w:rPr>
          <w:sz w:val="22"/>
          <w:szCs w:val="22"/>
        </w:rPr>
        <w:t xml:space="preserve">All of it lives in the learner's research book and in how they talk about their work:</w:t>
      </w:r>
    </w:p>
    <w:p>
      <w:pPr>
        <w:pStyle w:val="ListParagraph"/>
        <w:numPr>
          <w:ilvl w:val="0"/>
          <w:numId w:val="1"/>
        </w:numPr>
        <w:spacing w:after="60"/>
      </w:pPr>
      <w:r>
        <w:rPr>
          <w:sz w:val="22"/>
          <w:szCs w:val="22"/>
        </w:rPr>
        <w:t xml:space="preserve">The question and plan they framed, and their sub-questions.</w:t>
      </w:r>
    </w:p>
    <w:p>
      <w:pPr>
        <w:pStyle w:val="ListParagraph"/>
        <w:numPr>
          <w:ilvl w:val="0"/>
          <w:numId w:val="1"/>
        </w:numPr>
        <w:spacing w:after="60"/>
      </w:pPr>
      <w:r>
        <w:rPr>
          <w:sz w:val="22"/>
          <w:szCs w:val="22"/>
        </w:rPr>
        <w:t xml:space="preserve">The interview and survey questions they designed.</w:t>
      </w:r>
    </w:p>
    <w:p>
      <w:pPr>
        <w:pStyle w:val="ListParagraph"/>
        <w:numPr>
          <w:ilvl w:val="0"/>
          <w:numId w:val="1"/>
        </w:numPr>
        <w:spacing w:after="60"/>
      </w:pPr>
      <w:r>
        <w:rPr>
          <w:sz w:val="22"/>
          <w:szCs w:val="22"/>
        </w:rPr>
        <w:t xml:space="preserve">The evidence log, and how they marked how far to trust each piece.</w:t>
      </w:r>
    </w:p>
    <w:p>
      <w:pPr>
        <w:pStyle w:val="ListParagraph"/>
        <w:numPr>
          <w:ilvl w:val="0"/>
          <w:numId w:val="1"/>
        </w:numPr>
        <w:spacing w:after="60"/>
      </w:pPr>
      <w:r>
        <w:rPr>
          <w:sz w:val="22"/>
          <w:szCs w:val="22"/>
        </w:rPr>
        <w:t xml:space="preserve">The move from findings to insight — their insight statements and the evidence behind them.</w:t>
      </w:r>
    </w:p>
    <w:p>
      <w:pPr>
        <w:pStyle w:val="ListParagraph"/>
        <w:numPr>
          <w:ilvl w:val="0"/>
          <w:numId w:val="1"/>
        </w:numPr>
        <w:spacing w:after="60"/>
      </w:pPr>
      <w:r>
        <w:rPr>
          <w:sz w:val="22"/>
          <w:szCs w:val="22"/>
        </w:rPr>
        <w:t xml:space="preserve">The final research output, and how they answer questions about it.</w:t>
      </w:r>
    </w:p>
    <w:p>
      <w:pPr>
        <w:pStyle w:val="Heading2"/>
        <w:spacing w:after="80" w:before="200"/>
      </w:pPr>
      <w:r>
        <w:rPr>
          <w:b/>
          <w:bCs/>
          <w:color w:val="7A3B69"/>
          <w:sz w:val="26"/>
          <w:szCs w:val="26"/>
        </w:rPr>
        <w:t xml:space="preserve">Making the judgement</w:t>
      </w:r>
    </w:p>
    <w:p>
      <w:pPr>
        <w:spacing w:after="120" w:before="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20" w:before="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20" w:before="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ListParagraph"/>
        <w:numPr>
          <w:ilvl w:val="0"/>
          <w:numId w:val="1"/>
        </w:numPr>
        <w:spacing w:after="60"/>
      </w:pPr>
      <w:r>
        <w:rPr>
          <w:sz w:val="22"/>
          <w:szCs w:val="22"/>
        </w:rPr>
        <w:t xml:space="preserve">Source I (IOM): UN agency, reproducible for educational, non-commercial use with attribution.</w:t>
      </w:r>
    </w:p>
    <w:p>
      <w:pPr>
        <w:pStyle w:val="ListParagraph"/>
        <w:numPr>
          <w:ilvl w:val="0"/>
          <w:numId w:val="1"/>
        </w:numPr>
        <w:spacing w:after="60"/>
      </w:pPr>
      <w:r>
        <w:rPr>
          <w:sz w:val="22"/>
          <w:szCs w:val="22"/>
        </w:rPr>
        <w:t xml:space="preserve">Source J (FAO): UN agency report, reproducible for educational, non-commercial use with attribution.</w:t>
      </w:r>
    </w:p>
    <w:p>
      <w:pPr>
        <w:pStyle w:val="ListParagraph"/>
        <w:numPr>
          <w:ilvl w:val="0"/>
          <w:numId w:val="1"/>
        </w:numPr>
        <w:spacing w:after="60"/>
      </w:pPr>
      <w:r>
        <w:rPr>
          <w:sz w:val="22"/>
          <w:szCs w:val="22"/>
        </w:rPr>
        <w:t xml:space="preserve">Source K (One Tree Planted): tree-planting charity, rights reserved — not reproduced; cited and</w:t>
      </w:r>
    </w:p>
    <w:p>
      <w:pPr>
        <w:spacing w:after="120" w:before="0"/>
      </w:pPr>
      <w:r>
        <w:rPr>
          <w:sz w:val="22"/>
          <w:szCs w:val="22"/>
        </w:rPr>
        <w:t xml:space="preserve">summarised only.</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ListParagraph"/>
        <w:numPr>
          <w:ilvl w:val="0"/>
          <w:numId w:val="1"/>
        </w:numPr>
        <w:spacing w:after="60"/>
      </w:pPr>
      <w:r>
        <w:rPr>
          <w:sz w:val="22"/>
          <w:szCs w:val="22"/>
        </w:rPr>
        <w:t xml:space="preserve">I. IOM. "UN Agencies and Government Distribute LPG Stoves to Rohingya Refugees to Save Remaining</w:t>
      </w:r>
    </w:p>
    <w:p>
      <w:pPr>
        <w:spacing w:after="120" w:before="0"/>
      </w:pPr>
      <w:r>
        <w:rPr>
          <w:sz w:val="22"/>
          <w:szCs w:val="22"/>
        </w:rPr>
        <w:t xml:space="preserve">Forests." iom.int. A response people made (gas instead of firewood); reports its own work.</w:t>
      </w:r>
    </w:p>
    <w:p>
      <w:pPr>
        <w:pStyle w:val="ListParagraph"/>
        <w:numPr>
          <w:ilvl w:val="0"/>
          <w:numId w:val="1"/>
        </w:numPr>
        <w:spacing w:after="60"/>
      </w:pPr>
      <w:r>
        <w:rPr>
          <w:sz w:val="22"/>
          <w:szCs w:val="22"/>
        </w:rPr>
        <w:t xml:space="preserve">J. FAO. "Restoring degraded land in Rohingya refugee camps in Cox's Bazar, Bangladesh." openknowledge.fao.org.</w:t>
      </w:r>
    </w:p>
    <w:p>
      <w:pPr>
        <w:spacing w:after="120" w:before="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60"/>
      </w:pPr>
      <w:r>
        <w:rPr>
          <w:sz w:val="22"/>
          <w:szCs w:val="22"/>
        </w:rPr>
        <w:t xml:space="preserve">K. One Tree Planted. "How trees improve soil quality." onetreeplanted.org. A tree-planting charity —</w:t>
      </w:r>
    </w:p>
    <w:p>
      <w:pPr>
        <w:spacing w:after="120" w:before="0"/>
      </w:pPr>
      <w:r>
        <w:rPr>
          <w:sz w:val="22"/>
          <w:szCs w:val="22"/>
        </w:rPr>
        <w:t xml:space="preserve">an interested source on the benefits of trees; weigh it against the science sources (A, E). Strengthens sub-question 3 (what trees do for the soil and for us).</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pPr>
        <w:pStyle w:val="Heading2"/>
        <w:spacing w:after="80" w:before="200"/>
      </w:pPr>
      <w:r>
        <w:rPr>
          <w:b/>
          <w:bCs/>
          <w:color w:val="7A3B69"/>
          <w:sz w:val="26"/>
          <w:szCs w:val="26"/>
        </w:rPr>
        <w:t xml:space="preserve">Source I</w:t>
      </w:r>
    </w:p>
    <w:p>
      <w:pPr>
        <w:spacing w:after="120" w:before="0"/>
      </w:pPr>
      <w:r>
        <w:rPr>
          <w:i/>
          <w:i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20" w:before="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20" w:before="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6"/>
        </w:pBdr>
        <w:spacing w:after="120"/>
      </w:pPr>
    </w:p>
    <w:p>
      <w:pPr>
        <w:pStyle w:val="Heading2"/>
        <w:spacing w:after="80" w:before="200"/>
      </w:pPr>
      <w:r>
        <w:rPr>
          <w:b/>
          <w:bCs/>
          <w:color w:val="7A3B69"/>
          <w:sz w:val="26"/>
          <w:szCs w:val="26"/>
        </w:rPr>
        <w:t xml:space="preserve">Source J</w:t>
      </w:r>
    </w:p>
    <w:p>
      <w:pPr>
        <w:spacing w:after="120" w:before="0"/>
      </w:pPr>
      <w:r>
        <w:rPr>
          <w:i/>
          <w:i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20" w:before="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20" w:before="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6"/>
        </w:pBdr>
        <w:spacing w:after="120"/>
      </w:pPr>
    </w:p>
    <w:p>
      <w:pPr>
        <w:pStyle w:val="Heading2"/>
        <w:spacing w:after="80" w:before="200"/>
      </w:pPr>
      <w:r>
        <w:rPr>
          <w:b/>
          <w:bCs/>
          <w:color w:val="7A3B69"/>
          <w:sz w:val="26"/>
          <w:szCs w:val="26"/>
        </w:rPr>
        <w:t xml:space="preserve">Source K</w:t>
      </w:r>
    </w:p>
    <w:p>
      <w:pPr>
        <w:spacing w:after="120" w:before="0"/>
      </w:pPr>
      <w:r>
        <w:rPr>
          <w:i/>
          <w:iCs/>
          <w:color w:val="5A6473"/>
          <w:sz w:val="20"/>
          <w:szCs w:val="20"/>
        </w:rPr>
        <w:t xml:space="preserve">One Tree Planted, "How trees improve soil quality." onetreeplanted.org.</w:t>
      </w:r>
    </w:p>
    <w:p>
      <w:pPr>
        <w:spacing w:after="12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6"/>
        </w:pBdr>
        <w:spacing w:after="120"/>
      </w:pP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2026-08-21T04:09:32.575Z</dcterms:created>
  <dcterms:modified xsi:type="dcterms:W3CDTF">2026-08-21T04:09:32.575Z</dcterms:modified>
</cp:coreProperties>
</file>

<file path=docProps/custom.xml><?xml version="1.0" encoding="utf-8"?>
<Properties xmlns="http://schemas.openxmlformats.org/officeDocument/2006/custom-properties" xmlns:vt="http://schemas.openxmlformats.org/officeDocument/2006/docPropsVTypes"/>
</file>