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1F3A5F"/>
          <w:sz w:val="44"/>
          <w:szCs w:val="44"/>
        </w:rPr>
        <w:t xml:space="preserve">Agency in Learning</w:t>
      </w:r>
    </w:p>
    <w:p>
      <w:pPr>
        <w:spacing w:after="40" w:before="0"/>
      </w:pPr>
      <w:r>
        <w:rPr>
          <w:b/>
          <w:bCs/>
          <w:color w:val="7A3B69"/>
          <w:sz w:val="24"/>
          <w:szCs w:val="24"/>
        </w:rPr>
        <w:t xml:space="preserve">Assessment record — Set and pursue goals (FSL2)</w:t>
      </w:r>
    </w:p>
    <w:p>
      <w:pPr>
        <w:spacing w:after="160" w:before="0"/>
      </w:pPr>
      <w:r>
        <w:rPr>
          <w:color w:val="5A6473"/>
          <w:sz w:val="20"/>
          <w:szCs w:val="20"/>
        </w:rPr>
        <w:t xml:space="preserve">Learning Bridge+ (Cox's Bazar)  ·  Facilitator — make one copy per learner</w:t>
      </w:r>
    </w:p>
    <w:p>
      <w:pPr>
        <w:spacing w:after="120" w:before="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pPr>
      <w:r>
        <w:rPr>
          <w:sz w:val="22"/>
          <w:szCs w:val="22"/>
        </w:rPr>
        <w:t xml:space="preserve">Learner: ______________________________</w:t>
      </w:r>
    </w:p>
    <w:p>
      <w:pPr>
        <w:pStyle w:val="Heading2"/>
        <w:spacing w:after="80" w:before="200"/>
      </w:pPr>
      <w:r>
        <w:rPr>
          <w:b/>
          <w:bCs/>
          <w:color w:val="7A3B69"/>
          <w:sz w:val="25"/>
          <w:szCs w:val="25"/>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Provisional, made with Amala’s support and calibration: a checkpoint that tells you where to put your support next, not the final grade.</w:t>
      </w:r>
    </w:p>
    <w:p>
      <w:r>
        <w:br w:type="page"/>
      </w:r>
    </w:p>
    <w:p>
      <w:pPr>
        <w:pStyle w:val="Heading2"/>
        <w:spacing w:after="80" w:before="200"/>
      </w:pPr>
      <w:r>
        <w:rPr>
          <w:b/>
          <w:bCs/>
          <w:color w:val="7A3B69"/>
          <w:sz w:val="25"/>
          <w:szCs w:val="25"/>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This is the judgement that counts towards the certificated competency and the readiness decision. Amala moderates a sample of these against the evidence.</w:t>
      </w:r>
    </w:p>
    <w:p>
      <w:pPr>
        <w:spacing w:after="120" w:before="200"/>
      </w:pPr>
      <w:r>
        <w:rPr>
          <w:color w:val="5A6473"/>
          <w:sz w:val="16"/>
          <w:szCs w:val="16"/>
        </w:rPr>
        <w:t xml:space="preserve">Levels, GPA values and generic descriptors are Amala’s official Competency Framework and Proficiency Scale (cohorts starting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2026-08-20T04:54:40.039Z</dcterms:created>
  <dcterms:modified xsi:type="dcterms:W3CDTF">2026-08-20T04:54:40.039Z</dcterms:modified>
</cp:coreProperties>
</file>

<file path=docProps/custom.xml><?xml version="1.0" encoding="utf-8"?>
<Properties xmlns="http://schemas.openxmlformats.org/officeDocument/2006/custom-properties" xmlns:vt="http://schemas.openxmlformats.org/officeDocument/2006/docPropsVTypes"/>
</file>