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Roboto" w:cs="Roboto" w:eastAsia="Roboto" w:hAnsi="Roboto"/>
          <w:b/>
          <w:bCs/>
          <w:color w:val="004976"/>
          <w:sz w:val="40"/>
          <w:szCs w:val="40"/>
        </w:rPr>
        <w:t xml:space="preserve">Designing and Facilitating Group-Based Learning</w:t>
      </w:r>
    </w:p>
    <w:p>
      <w:pPr>
        <w:spacing w:after="0" w:before="20"/>
      </w:pPr>
      <w:r>
        <w:rPr>
          <w:rFonts w:ascii="Roboto" w:cs="Roboto" w:eastAsia="Roboto" w:hAnsi="Roboto"/>
          <w:b/>
          <w:bCs/>
          <w:color w:val="4797A8"/>
          <w:sz w:val="26"/>
          <w:szCs w:val="26"/>
        </w:rPr>
        <w:t xml:space="preserve">Module sign-off guide</w:t>
      </w:r>
    </w:p>
    <w:p>
      <w:pPr>
        <w:spacing w:after="140" w:before="20"/>
      </w:pPr>
      <w:r>
        <w:rPr>
          <w:rFonts w:ascii="Lato" w:cs="Lato" w:eastAsia="Lato" w:hAnsi="Lato"/>
          <w:color w:val="97999B"/>
          <w:sz w:val="20"/>
          <w:szCs w:val="20"/>
        </w:rPr>
        <w:t xml:space="preserve">How trainers confirm that an educator has met the standard for this module</w:t>
      </w:r>
    </w:p>
    <w:tbl>
      <w:tblPr>
        <w:tblW w:type="dxa" w:w="9026"/>
        <w:tblBorders>
          <w:top w:val="nil"/>
          <w:left w:val="nil"/>
          <w:bottom w:val="nil"/>
          <w:right w:val="nil"/>
          <w:insideH w:val="single" w:color="auto" w:sz="4"/>
          <w:insideV w:val="single" w:color="auto" w:sz="4"/>
        </w:tblBorders>
      </w:tblPr>
      <w:tblGrid>
        <w:gridCol w:w="9026"/>
      </w:tblGrid>
      <w:tr>
        <w:tc>
          <w:tcPr>
            <w:tcW w:type="dxa" w:w="9026"/>
            <w:tcBorders>
              <w:top w:val="nil"/>
              <w:left w:val="single" w:color="004976" w:sz="18"/>
              <w:bottom w:val="nil"/>
              <w:right w:val="nil"/>
            </w:tcBorders>
            <w:shd w:fill="E8EFF5" w:val="clear"/>
            <w:tcMar>
              <w:top w:type="dxa" w:w="120"/>
              <w:left w:type="dxa" w:w="160"/>
              <w:bottom w:type="dxa" w:w="120"/>
              <w:right w:type="dxa" w:w="160"/>
            </w:tcMar>
          </w:tcPr>
          <w:p>
            <w:pPr>
              <w:spacing w:after="40" w:before="0"/>
            </w:pPr>
            <w:r>
              <w:rPr>
                <w:rFonts w:ascii="Roboto" w:cs="Roboto" w:eastAsia="Roboto" w:hAnsi="Roboto"/>
                <w:b/>
                <w:bCs/>
                <w:color w:val="004976"/>
                <w:sz w:val="21"/>
                <w:szCs w:val="21"/>
              </w:rPr>
              <w:t xml:space="preserve">What sign-off is</w:t>
            </w:r>
          </w:p>
          <w:p>
            <w:pPr>
              <w:spacing w:after="60" w:before="40"/>
            </w:pPr>
            <w:r>
              <w:rPr>
                <w:rFonts w:ascii="Lato" w:cs="Lato" w:eastAsia="Lato" w:hAnsi="Lato"/>
                <w:b w:val="false"/>
                <w:bCs w:val="false"/>
                <w:color w:val="041E42"/>
                <w:sz w:val="21"/>
                <w:szCs w:val="21"/>
              </w:rPr>
              <w:t xml:space="preserve">Sign-off is how a trainer confirms that an educator has met the standard for this module. It is based on the plan the educator produces during the training. There is no observed teaching and no separate sign-off conversation at this stage: the judgement is made from what the educator submits. A pass means the educator holds the Designing and Facilitating Group-Based Learning module, which is recorded in the qualification register and travels with them across Amala programmes.</w:t>
            </w:r>
          </w:p>
        </w:tc>
      </w:tr>
    </w:tbl>
    <w:p>
      <w:pPr>
        <w:spacing w:after="120" w:before="0"/>
      </w:pPr>
    </w:p>
    <w:p>
      <w:pPr>
        <w:pBdr>
          <w:bottom w:val="single" w:color="8F993E" w:sz="6" w:space="2"/>
        </w:pBdr>
        <w:spacing w:after="90" w:before="260"/>
      </w:pPr>
      <w:r>
        <w:rPr>
          <w:rFonts w:ascii="Roboto" w:cs="Roboto" w:eastAsia="Roboto" w:hAnsi="Roboto"/>
          <w:b/>
          <w:bCs/>
          <w:color w:val="004976"/>
          <w:sz w:val="26"/>
          <w:szCs w:val="26"/>
        </w:rPr>
        <w:t xml:space="preserve">What the educator submits</w:t>
      </w:r>
    </w:p>
    <w:p>
      <w:pPr>
        <w:spacing w:after="60" w:before="40"/>
      </w:pPr>
      <w:r>
        <w:rPr>
          <w:rFonts w:ascii="Lato" w:cs="Lato" w:eastAsia="Lato" w:hAnsi="Lato"/>
          <w:b w:val="false"/>
          <w:bCs w:val="false"/>
          <w:color w:val="041E42"/>
          <w:sz w:val="21"/>
          <w:szCs w:val="21"/>
        </w:rPr>
        <w:t xml:space="preserve">By the end of the training, the educator submits their Course Planning Guide showing:</w:t>
      </w:r>
    </w:p>
    <w:p>
      <w:pPr>
        <w:spacing w:after="60" w:before="0"/>
      </w:pPr>
      <w:r>
        <w:rPr>
          <w:rFonts w:ascii="Lato" w:cs="Lato" w:eastAsia="Lato" w:hAnsi="Lato"/>
          <w:b/>
          <w:bCs/>
          <w:color w:val="041E42"/>
          <w:sz w:val="21"/>
          <w:szCs w:val="21"/>
        </w:rPr>
        <w:t xml:space="preserve">the first 10 hours of their course plan</w:t>
      </w:r>
      <w:r>
        <w:rPr>
          <w:rFonts w:ascii="Lato" w:cs="Lato" w:eastAsia="Lato" w:hAnsi="Lato"/>
          <w:b w:val="false"/>
          <w:bCs w:val="false"/>
          <w:color w:val="041E42"/>
          <w:sz w:val="21"/>
          <w:szCs w:val="21"/>
        </w:rPr>
        <w:t xml:space="preserve"> (Section 4), grounded in their context and learners (Section 1)</w:t>
      </w:r>
    </w:p>
    <w:p>
      <w:pPr>
        <w:spacing w:after="60" w:before="0"/>
      </w:pPr>
      <w:r>
        <w:rPr>
          <w:rFonts w:ascii="Lato" w:cs="Lato" w:eastAsia="Lato" w:hAnsi="Lato"/>
          <w:b/>
          <w:bCs/>
          <w:color w:val="041E42"/>
          <w:sz w:val="21"/>
          <w:szCs w:val="21"/>
        </w:rPr>
        <w:t xml:space="preserve">their pre-delivery reflection</w:t>
      </w:r>
      <w:r>
        <w:rPr>
          <w:rFonts w:ascii="Lato" w:cs="Lato" w:eastAsia="Lato" w:hAnsi="Lato"/>
          <w:b w:val="false"/>
          <w:bCs w:val="false"/>
          <w:color w:val="041E42"/>
          <w:sz w:val="21"/>
          <w:szCs w:val="21"/>
        </w:rPr>
        <w:t xml:space="preserve"> (Section 5)</w:t>
      </w:r>
    </w:p>
    <w:p>
      <w:pPr>
        <w:spacing w:after="60" w:before="40"/>
      </w:pPr>
      <w:r>
        <w:rPr>
          <w:rFonts w:ascii="Lato" w:cs="Lato" w:eastAsia="Lato" w:hAnsi="Lato"/>
          <w:b w:val="false"/>
          <w:bCs w:val="false"/>
          <w:color w:val="041E42"/>
          <w:sz w:val="21"/>
          <w:szCs w:val="21"/>
        </w:rPr>
        <w:t xml:space="preserve">Course objectives are mapped in Section 2, but the educator is not expected to evidence every objective inside the first 10 hours. Sign-off is judged on the design itself, not on full course coverage.</w:t>
      </w:r>
    </w:p>
    <w:p>
      <w:pPr>
        <w:pBdr>
          <w:bottom w:val="single" w:color="8F993E" w:sz="6" w:space="2"/>
        </w:pBdr>
        <w:spacing w:after="90" w:before="260"/>
      </w:pPr>
      <w:r>
        <w:rPr>
          <w:rFonts w:ascii="Roboto" w:cs="Roboto" w:eastAsia="Roboto" w:hAnsi="Roboto"/>
          <w:b/>
          <w:bCs/>
          <w:color w:val="004976"/>
          <w:sz w:val="26"/>
          <w:szCs w:val="26"/>
        </w:rPr>
        <w:t xml:space="preserve">How it is assessed</w:t>
      </w:r>
    </w:p>
    <w:p>
      <w:pPr>
        <w:spacing w:after="60" w:before="40"/>
      </w:pPr>
      <w:r>
        <w:rPr>
          <w:rFonts w:ascii="Lato" w:cs="Lato" w:eastAsia="Lato" w:hAnsi="Lato"/>
          <w:b w:val="false"/>
          <w:bCs w:val="false"/>
          <w:color w:val="041E42"/>
          <w:sz w:val="21"/>
          <w:szCs w:val="21"/>
        </w:rPr>
        <w:t xml:space="preserve">The trainer reviews the submission against the three criteria below. For the principles, the educator chooses the two or three principles that matter most for their course and shows them working in the design of the first 10 hours. The trainer checks those principles are genuinely evidenced in the plan, not simply named. Each criterion is judged Met or Not yet.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Criterion</w:t>
            </w:r>
          </w:p>
        </w:tc>
        <w:tc>
          <w:tcPr>
            <w:tcW w:type="dxa" w:w="6126"/>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What “Met” looks like</w:t>
            </w:r>
          </w:p>
        </w:tc>
      </w:tr>
      <w:tr>
        <w:tc>
          <w:tcPr>
            <w:tcW w:type="dxa" w:w="29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20"/>
                <w:szCs w:val="20"/>
              </w:rPr>
              <w:t xml:space="preserve">Grounded in context</w:t>
            </w:r>
          </w:p>
        </w:tc>
        <w:tc>
          <w:tcPr>
            <w:tcW w:type="dxa" w:w="61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The design builds on the Section 1 analysis of learners and context. It is specific to this group, not generic.</w:t>
            </w:r>
          </w:p>
        </w:tc>
      </w:tr>
      <w:tr>
        <w:tc>
          <w:tcPr>
            <w:tcW w:type="dxa" w:w="29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20"/>
                <w:szCs w:val="20"/>
              </w:rPr>
              <w:t xml:space="preserve">Key principles evidenced</w:t>
            </w:r>
          </w:p>
        </w:tc>
        <w:tc>
          <w:tcPr>
            <w:tcW w:type="dxa" w:w="61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The design of the first 10 hours shows the two or three most important principles for this course working in practice, not just listed.</w:t>
            </w:r>
          </w:p>
        </w:tc>
      </w:tr>
      <w:tr>
        <w:tc>
          <w:tcPr>
            <w:tcW w:type="dxa" w:w="29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20"/>
                <w:szCs w:val="20"/>
              </w:rPr>
              <w:t xml:space="preserve">Coherent and deliverable</w:t>
            </w:r>
          </w:p>
        </w:tc>
        <w:tc>
          <w:tcPr>
            <w:tcW w:type="dxa" w:w="61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The 10 hours are well paced, balance facilitated and independent time, and set up what follows in the course.</w:t>
            </w:r>
          </w:p>
        </w:tc>
      </w:tr>
    </w:tbl>
    <w:p>
      <w:pPr>
        <w:spacing w:after="120" w:before="0"/>
      </w:pPr>
    </w:p>
    <w:tbl>
      <w:tblPr>
        <w:tblW w:type="dxa" w:w="9026"/>
        <w:tblBorders>
          <w:top w:val="nil"/>
          <w:left w:val="nil"/>
          <w:bottom w:val="nil"/>
          <w:right w:val="nil"/>
          <w:insideH w:val="single" w:color="auto" w:sz="4"/>
          <w:insideV w:val="single" w:color="auto" w:sz="4"/>
        </w:tblBorders>
      </w:tblPr>
      <w:tblGrid>
        <w:gridCol w:w="9026"/>
      </w:tblGrid>
      <w:tr>
        <w:tc>
          <w:tcPr>
            <w:tcW w:type="dxa" w:w="9026"/>
            <w:tcBorders>
              <w:top w:val="nil"/>
              <w:left w:val="single" w:color="004976" w:sz="18"/>
              <w:bottom w:val="nil"/>
              <w:right w:val="nil"/>
            </w:tcBorders>
            <w:shd w:fill="F2F3E3" w:val="clear"/>
            <w:tcMar>
              <w:top w:type="dxa" w:w="120"/>
              <w:left w:type="dxa" w:w="160"/>
              <w:bottom w:type="dxa" w:w="120"/>
              <w:right w:type="dxa" w:w="160"/>
            </w:tcMar>
          </w:tcPr>
          <w:p>
            <w:pPr>
              <w:spacing w:after="40" w:before="0"/>
            </w:pPr>
            <w:r>
              <w:rPr>
                <w:rFonts w:ascii="Roboto" w:cs="Roboto" w:eastAsia="Roboto" w:hAnsi="Roboto"/>
                <w:b/>
                <w:bCs/>
                <w:color w:val="004976"/>
                <w:sz w:val="21"/>
                <w:szCs w:val="21"/>
              </w:rPr>
              <w:t xml:space="preserve">The threshold</w:t>
            </w:r>
          </w:p>
          <w:p>
            <w:pPr>
              <w:spacing w:after="60" w:before="40"/>
            </w:pPr>
            <w:r>
              <w:rPr>
                <w:rFonts w:ascii="Lato" w:cs="Lato" w:eastAsia="Lato" w:hAnsi="Lato"/>
                <w:b w:val="false"/>
                <w:bCs w:val="false"/>
                <w:color w:val="041E42"/>
                <w:sz w:val="21"/>
                <w:szCs w:val="21"/>
              </w:rPr>
              <w:t xml:space="preserve">All three criteria Met is a pass. If any criterion is Not yet, the trainer gives specific written feedback and the educator has one resit: a revised submission, with no follow-up call. If the resit is still Not yet, the educator re-enrols on a future cohort.</w:t>
            </w:r>
          </w:p>
        </w:tc>
      </w:tr>
    </w:tbl>
    <w:p>
      <w:pPr>
        <w:spacing w:after="120" w:before="0"/>
      </w:pPr>
    </w:p>
    <w:p>
      <w:pPr>
        <w:pBdr>
          <w:bottom w:val="single" w:color="8F993E" w:sz="6" w:space="2"/>
        </w:pBdr>
        <w:spacing w:after="90" w:before="260"/>
      </w:pPr>
      <w:r>
        <w:rPr>
          <w:rFonts w:ascii="Roboto" w:cs="Roboto" w:eastAsia="Roboto" w:hAnsi="Roboto"/>
          <w:b/>
          <w:bCs/>
          <w:color w:val="004976"/>
          <w:sz w:val="26"/>
          <w:szCs w:val="26"/>
        </w:rPr>
        <w:t xml:space="preserve">Sign-off record</w:t>
      </w:r>
    </w:p>
    <w:p>
      <w:pPr>
        <w:spacing w:after="60" w:before="40"/>
      </w:pPr>
      <w:r>
        <w:rPr>
          <w:rFonts w:ascii="Lato" w:cs="Lato" w:eastAsia="Lato" w:hAnsi="Lato"/>
          <w:b w:val="false"/>
          <w:bCs w:val="false"/>
          <w:color w:val="041E42"/>
          <w:sz w:val="21"/>
          <w:szCs w:val="21"/>
        </w:rPr>
        <w:t xml:space="preserve">The trainer completes one record per educator and files it so the result can be entered in the qualification register.</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Educator name</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Programme being planned</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Cohort / date</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Trainer</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500"/>
        <w:gridCol w:w="1700"/>
        <w:gridCol w:w="2200"/>
      </w:tblGrid>
      <w:tr>
        <w:trPr>
          <w:tblHeader/>
        </w:trPr>
        <w:tc>
          <w:tcPr>
            <w:tcW w:type="dxa" w:w="3626"/>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Criterion</w:t>
            </w:r>
          </w:p>
        </w:tc>
        <w:tc>
          <w:tcPr>
            <w:tcW w:type="dxa" w:w="1500"/>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
            </w:r>
          </w:p>
        </w:tc>
        <w:tc>
          <w:tcPr>
            <w:tcW w:type="dxa" w:w="1700"/>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
            </w:r>
          </w:p>
        </w:tc>
        <w:tc>
          <w:tcPr>
            <w:tcW w:type="dxa" w:w="2200"/>
            <w:tcBorders>
              <w:top w:val="single" w:color="D0D2CE" w:sz="4"/>
              <w:left w:val="single" w:color="D0D2CE" w:sz="4"/>
              <w:bottom w:val="single" w:color="D0D2CE" w:sz="4"/>
              <w:right w:val="single" w:color="D0D2CE" w:sz="4"/>
            </w:tcBorders>
            <w:shd w:fill="004976" w:val="clear"/>
            <w:tcMar>
              <w:top w:type="dxa" w:w="80"/>
              <w:left w:type="dxa" w:w="120"/>
              <w:bottom w:type="dxa" w:w="80"/>
              <w:right w:type="dxa" w:w="120"/>
            </w:tcMar>
            <w:vAlign w:val="center"/>
          </w:tcPr>
          <w:p>
            <w:pPr>
              <w:spacing w:after="0" w:before="0"/>
            </w:pPr>
            <w:r>
              <w:rPr>
                <w:rFonts w:ascii="Roboto" w:cs="Roboto" w:eastAsia="Roboto" w:hAnsi="Roboto"/>
                <w:b/>
                <w:bCs/>
                <w:color w:val="FFFFFF"/>
                <w:sz w:val="20"/>
                <w:szCs w:val="20"/>
              </w:rPr>
              <w:t xml:space="preserve">Notes</w:t>
            </w:r>
          </w:p>
        </w:tc>
      </w:tr>
      <w:tr>
        <w:tc>
          <w:tcPr>
            <w:tcW w:type="dxa" w:w="3626"/>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Grounded in context</w:t>
            </w:r>
          </w:p>
        </w:tc>
        <w:tc>
          <w:tcPr>
            <w:tcW w:type="dxa" w:w="15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Met</w:t>
            </w:r>
          </w:p>
        </w:tc>
        <w:tc>
          <w:tcPr>
            <w:tcW w:type="dxa" w:w="17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Not yet</w:t>
            </w:r>
          </w:p>
        </w:tc>
        <w:tc>
          <w:tcPr>
            <w:tcW w:type="dxa" w:w="22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626"/>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Key principles evidenced</w:t>
            </w:r>
          </w:p>
        </w:tc>
        <w:tc>
          <w:tcPr>
            <w:tcW w:type="dxa" w:w="15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Met</w:t>
            </w:r>
          </w:p>
        </w:tc>
        <w:tc>
          <w:tcPr>
            <w:tcW w:type="dxa" w:w="17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Not yet</w:t>
            </w:r>
          </w:p>
        </w:tc>
        <w:tc>
          <w:tcPr>
            <w:tcW w:type="dxa" w:w="22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626"/>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Coherent and deliverable</w:t>
            </w:r>
          </w:p>
        </w:tc>
        <w:tc>
          <w:tcPr>
            <w:tcW w:type="dxa" w:w="15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Met</w:t>
            </w:r>
          </w:p>
        </w:tc>
        <w:tc>
          <w:tcPr>
            <w:tcW w:type="dxa" w:w="17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Not yet</w:t>
            </w:r>
          </w:p>
        </w:tc>
        <w:tc>
          <w:tcPr>
            <w:tcW w:type="dxa" w:w="2200"/>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Outcome</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Pass        ☐ Resit required</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Date of decision</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Resit due (if applicable)</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b w:val="false"/>
                <w:bCs w:val="false"/>
                <w:color w:val="041E42"/>
                <w:sz w:val="21"/>
                <w:szCs w:val="21"/>
              </w:rPr>
              <w:t xml:space="preserve"> </w:t>
            </w:r>
          </w:p>
        </w:tc>
      </w:tr>
      <w:tr>
        <w:tc>
          <w:tcPr>
            <w:tcW w:type="dxa" w:w="3000"/>
            <w:tcBorders>
              <w:top w:val="single" w:color="D0D2CE" w:sz="4"/>
              <w:left w:val="single" w:color="D0D2CE" w:sz="4"/>
              <w:bottom w:val="single" w:color="D0D2CE" w:sz="4"/>
              <w:right w:val="single" w:color="D0D2CE" w:sz="4"/>
            </w:tcBorders>
            <w:shd w:fill="E8EFF5" w:val="clear"/>
            <w:tcMar>
              <w:top w:type="dxa" w:w="80"/>
              <w:left w:type="dxa" w:w="120"/>
              <w:bottom w:type="dxa" w:w="80"/>
              <w:right w:type="dxa" w:w="120"/>
            </w:tcMar>
            <w:vAlign w:val="center"/>
          </w:tcPr>
          <w:p>
            <w:pPr>
              <w:spacing w:after="0" w:before="0"/>
            </w:pPr>
            <w:r>
              <w:rPr>
                <w:rFonts w:ascii="Roboto" w:cs="Roboto" w:eastAsia="Roboto" w:hAnsi="Roboto"/>
                <w:b/>
                <w:bCs/>
                <w:color w:val="004976"/>
                <w:sz w:val="19"/>
                <w:szCs w:val="19"/>
              </w:rPr>
              <w:t xml:space="preserve">Recorded in register</w:t>
            </w:r>
          </w:p>
        </w:tc>
        <w:tc>
          <w:tcPr>
            <w:tcW w:type="dxa" w:w="6026"/>
            <w:tcBorders>
              <w:top w:val="single" w:color="D0D2CE" w:sz="4"/>
              <w:left w:val="single" w:color="D0D2CE" w:sz="4"/>
              <w:bottom w:val="single" w:color="D0D2CE" w:sz="4"/>
              <w:right w:val="single" w:color="D0D2CE" w:sz="4"/>
            </w:tcBorders>
            <w:tcMar>
              <w:top w:type="dxa" w:w="80"/>
              <w:left w:type="dxa" w:w="120"/>
              <w:bottom w:type="dxa" w:w="80"/>
              <w:right w:type="dxa" w:w="120"/>
            </w:tcMar>
            <w:vAlign w:val="center"/>
          </w:tcPr>
          <w:p>
            <w:pPr>
              <w:spacing w:after="0" w:before="0"/>
            </w:pPr>
            <w:r>
              <w:rPr>
                <w:rFonts w:ascii="Lato" w:cs="Lato" w:eastAsia="Lato" w:hAnsi="Lato"/>
                <w:color w:val="041E42"/>
                <w:sz w:val="19"/>
                <w:szCs w:val="19"/>
              </w:rPr>
              <w:t xml:space="preserve">☐ Educator now holds: Designing and Facilitating Group-Based Learning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ato" w:cs="Lato" w:eastAsia="Lato" w:hAnsi="Lato"/>
        <w:color w:val="97999B"/>
        <w:sz w:val="16"/>
        <w:szCs w:val="16"/>
      </w:rPr>
      <w:t xml:space="preserve">Amala Education for Change   ·   Module Sign-off Guide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976" w:sz="8" w:space="4"/>
      </w:pBdr>
      <w:tabs>
        <w:tab w:val="right" w:pos="9026"/>
      </w:tabs>
      <w:spacing w:after="80"/>
    </w:pPr>
    <w:r>
      <w:drawing>
        <wp:inline distT="0" distB="0" distL="0" distR="0">
          <wp:extent cx="11049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04900" cy="571500"/>
                  </a:xfrm>
                  <a:prstGeom prst="rect">
                    <a:avLst/>
                  </a:prstGeom>
                </pic:spPr>
              </pic:pic>
            </a:graphicData>
          </a:graphic>
        </wp:inline>
      </w:drawing>
    </w:r>
    <w:r>
      <w:rPr>
        <w:rFonts w:ascii="Lato" w:cs="Lato" w:eastAsia="Lato" w:hAnsi="Lato"/>
        <w:color w:val="97999B"/>
        <w:sz w:val="17"/>
        <w:szCs w:val="17"/>
      </w:rPr>
      <w:t xml:space="preserve">	Designing and Facilitating Group-Based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cb86016d4105690b7f681da31e537f35dc4a2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2026-06-10T08:53:05.754Z</dcterms:created>
  <dcterms:modified xsi:type="dcterms:W3CDTF">2026-06-10T08:53:05.754Z</dcterms:modified>
</cp:coreProperties>
</file>

<file path=docProps/custom.xml><?xml version="1.0" encoding="utf-8"?>
<Properties xmlns="http://schemas.openxmlformats.org/officeDocument/2006/custom-properties" xmlns:vt="http://schemas.openxmlformats.org/officeDocument/2006/docPropsVTypes"/>
</file>