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pPr>
      <w:r>
        <w:rPr>
          <w:b/>
          <w:bCs/>
          <w:color w:val="6E7A2E"/>
          <w:sz w:val="22"/>
          <w:szCs w:val="22"/>
        </w:rPr>
        <w:t xml:space="preserve">Learning Bridge+</w:t>
      </w:r>
    </w:p>
    <w:p>
      <w:pPr>
        <w:spacing w:after="60"/>
      </w:pPr>
      <w:r>
        <w:rPr>
          <w:b/>
          <w:bCs/>
          <w:color w:val="1F3A5F"/>
          <w:sz w:val="52"/>
          <w:szCs w:val="52"/>
        </w:rPr>
        <w:t xml:space="preserve">Coordinator Guide</w:t>
      </w:r>
    </w:p>
    <w:p>
      <w:pPr>
        <w:spacing w:after="60" w:before="0" w:line="300"/>
      </w:pPr>
      <w:r>
        <w:rPr>
          <w:b/>
          <w:bCs/>
          <w:color w:val="7A3B69"/>
          <w:sz w:val="28"/>
          <w:szCs w:val="28"/>
        </w:rPr>
        <w:t xml:space="preserve">Running the programme in the camps</w:t>
      </w:r>
    </w:p>
    <w:p>
      <w:pPr>
        <w:spacing w:after="20" w:before="0" w:line="300"/>
      </w:pPr>
      <w:r>
        <w:rPr>
          <w:color w:val="5A6473"/>
          <w:sz w:val="21"/>
          <w:szCs w:val="21"/>
        </w:rPr>
        <w:t xml:space="preserve">Learning Bridge+ (Cox's Bazar)  ·  a fully offline readiness programme for Rohingya youth</w:t>
      </w:r>
    </w:p>
    <w:p>
      <w:pPr>
        <w:spacing w:after="220" w:before="0" w:line="300"/>
      </w:pPr>
      <w:r>
        <w:rPr>
          <w:color w:val="5A6473"/>
          <w:sz w:val="21"/>
          <w:szCs w:val="21"/>
        </w:rPr>
        <w:t xml:space="preserve">Amala Education, remote technical consultant to the Norwegian Refugee Council (NRC)</w:t>
      </w:r>
    </w:p>
    <w:p>
      <w:pPr>
        <w:spacing w:after="140" w:before="0" w:line="300"/>
      </w:pPr>
      <w:r>
        <w:rPr>
          <w:sz w:val="22"/>
          <w:szCs w:val="22"/>
        </w:rPr>
        <w:t xml:space="preserve">This guide is for the NRC programme coordinator — the person who holds the programme together across sites. It explains what the programme is, who does what, how to set it up, and the 12-week rhythm you run each cohort through, including the two assessment points and Amala’s moderation. It is a companion to the Educator Guide, which is the facilitators’ complete manual: everything they deliver from is in that one document.</w:t>
      </w:r>
    </w:p>
    <w:p>
      <w:pPr>
        <w:pBdr>
          <w:bottom w:val="single" w:color="B9B3A6" w:sz="4"/>
        </w:pBdr>
        <w:spacing w:after="180" w:before="60"/>
      </w:pPr>
    </w:p>
    <w:p>
      <w:pPr>
        <w:pStyle w:val="Heading1"/>
        <w:keepNext/>
        <w:spacing w:after="140" w:before="320"/>
      </w:pPr>
      <w:r>
        <w:rPr>
          <w:b/>
          <w:bCs/>
          <w:color w:val="1F3A5F"/>
          <w:sz w:val="36"/>
          <w:szCs w:val="36"/>
        </w:rPr>
        <w:t xml:space="preserve">1. What this programme is</w:t>
      </w:r>
    </w:p>
    <w:p>
      <w:pPr>
        <w:spacing w:after="140" w:before="0" w:line="300"/>
      </w:pPr>
      <w:r>
        <w:rPr>
          <w:sz w:val="22"/>
          <w:szCs w:val="22"/>
        </w:rPr>
        <w:t xml:space="preserve">Learning Bridge+ (Cox’s Bazar) is a readiness bridge. It prepares Rohingya refugee youth — typically aged 14 to 24, at around Grade 6 of the Myanmar curriculum — to enter and sustain an accredited secondary education pathway. It keeps the components and competencies of Amala’s Learning Bridge programme, but delivery is rebuilt for this context: fully offline, in Community Based Learning Facilities (CBLFs), for a largely pre-literate cohort, under the protection realities of the camps.</w:t>
      </w:r>
    </w:p>
    <w:p>
      <w:pPr>
        <w:spacing w:after="140" w:before="0" w:line="300"/>
      </w:pPr>
      <w:r>
        <w:rPr>
          <w:sz w:val="22"/>
          <w:szCs w:val="22"/>
        </w:rPr>
        <w:t xml:space="preserve">It is the certificated Learning Bridge+ tier, so learners are formally assessed in two competencies to support the decision about whether they are ready to transition.</w:t>
      </w:r>
    </w:p>
    <w:p>
      <w:pPr>
        <w:keepNext/>
        <w:spacing w:after="60" w:before="180"/>
      </w:pPr>
      <w:r>
        <w:rPr>
          <w:b/>
          <w:bCs/>
          <w:color w:val="6E7A2E"/>
          <w:spacing w:val="24"/>
          <w:sz w:val="17"/>
          <w:szCs w:val="17"/>
        </w:rPr>
        <w:t xml:space="preserve">THE HEADLINE SUCCESS MEASURE</w:t>
      </w:r>
    </w:p>
    <w:p>
      <w:pPr>
        <w:spacing w:after="140" w:before="0" w:line="300"/>
      </w:pPr>
      <w:r>
        <w:rPr>
          <w:sz w:val="22"/>
          <w:szCs w:val="22"/>
        </w:rPr>
        <w:t xml:space="preserve">Agreed with NRC: at least 70% of learners who complete the programme demonstrate the competencies needed to enrol in the accredited secondary education pathway, as measured by the final assessment. Everything below serves that measure.</w:t>
      </w:r>
    </w:p>
    <w:p>
      <w:pPr>
        <w:pStyle w:val="Heading1"/>
        <w:keepNext/>
        <w:spacing w:after="140" w:before="320"/>
      </w:pPr>
      <w:r>
        <w:rPr>
          <w:b/>
          <w:bCs/>
          <w:color w:val="1F3A5F"/>
          <w:sz w:val="36"/>
          <w:szCs w:val="36"/>
        </w:rPr>
        <w:t xml:space="preserve">2. Who does what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Role</w:t>
            </w:r>
          </w:p>
        </w:tc>
        <w:tc>
          <w:tcPr>
            <w:tcW w:type="dxa" w:w="6382"/>
            <w:tcMar>
              <w:top w:type="dxa" w:w="70"/>
              <w:left w:type="dxa" w:w="130"/>
              <w:bottom w:type="dxa" w:w="70"/>
              <w:right w:type="dxa" w:w="130"/>
            </w:tcMar>
          </w:tcPr>
          <w:p>
            <w:pPr>
              <w:spacing w:line="260"/>
            </w:pPr>
            <w:r>
              <w:rPr>
                <w:b/>
                <w:bCs/>
                <w:color w:val="1F3A5F"/>
                <w:sz w:val="19"/>
                <w:szCs w:val="19"/>
              </w:rPr>
              <w:t xml:space="preserve">Responsibility</w:t>
            </w:r>
          </w:p>
        </w:tc>
      </w:tr>
      <w:tr>
        <w:tc>
          <w:tcPr>
            <w:tcW w:type="dxa" w:w="2687"/>
            <w:tcMar>
              <w:top w:type="dxa" w:w="70"/>
              <w:left w:type="dxa" w:w="130"/>
              <w:bottom w:type="dxa" w:w="70"/>
              <w:right w:type="dxa" w:w="130"/>
            </w:tcMar>
          </w:tcPr>
          <w:p>
            <w:pPr>
              <w:spacing w:line="260"/>
            </w:pPr>
            <w:r>
              <w:rPr>
                <w:b/>
                <w:bCs/>
                <w:color w:val="7A3B69"/>
                <w:sz w:val="19"/>
                <w:szCs w:val="19"/>
              </w:rPr>
              <w:t xml:space="preserve">Amala</w:t>
            </w:r>
          </w:p>
        </w:tc>
        <w:tc>
          <w:tcPr>
            <w:tcW w:type="dxa" w:w="6382"/>
            <w:tcMar>
              <w:top w:type="dxa" w:w="70"/>
              <w:left w:type="dxa" w:w="130"/>
              <w:bottom w:type="dxa" w:w="70"/>
              <w:right w:type="dxa" w:w="130"/>
            </w:tcMar>
          </w:tcPr>
          <w:p>
            <w:pPr>
              <w:spacing w:line="260"/>
            </w:pPr>
            <w:r>
              <w:rPr>
                <w:b w:val="false"/>
                <w:bCs w:val="false"/>
                <w:sz w:val="19"/>
                <w:szCs w:val="19"/>
              </w:rPr>
              <w:t xml:space="preserve">Remote technical consultant. Contextualises the curriculum, supplies ready-made offline resources, trains facilitators and you (the coordinator), supports the Week-6 assessment, and moderates the final judgements. Amala does not deliver in the camps.</w:t>
            </w:r>
          </w:p>
        </w:tc>
      </w:tr>
      <w:tr>
        <w:tc>
          <w:tcPr>
            <w:tcW w:type="dxa" w:w="2687"/>
            <w:tcMar>
              <w:top w:type="dxa" w:w="70"/>
              <w:left w:type="dxa" w:w="130"/>
              <w:bottom w:type="dxa" w:w="70"/>
              <w:right w:type="dxa" w:w="130"/>
            </w:tcMar>
          </w:tcPr>
          <w:p>
            <w:pPr>
              <w:spacing w:line="260"/>
            </w:pPr>
            <w:r>
              <w:rPr>
                <w:b/>
                <w:bCs/>
                <w:color w:val="7A3B69"/>
                <w:sz w:val="19"/>
                <w:szCs w:val="19"/>
              </w:rPr>
              <w:t xml:space="preserve">You (coordinator)</w:t>
            </w:r>
          </w:p>
        </w:tc>
        <w:tc>
          <w:tcPr>
            <w:tcW w:type="dxa" w:w="6382"/>
            <w:tcMar>
              <w:top w:type="dxa" w:w="70"/>
              <w:left w:type="dxa" w:w="130"/>
              <w:bottom w:type="dxa" w:w="70"/>
              <w:right w:type="dxa" w:w="130"/>
            </w:tcMar>
          </w:tcPr>
          <w:p>
            <w:pPr>
              <w:spacing w:line="260"/>
            </w:pPr>
            <w:r>
              <w:rPr>
                <w:b w:val="false"/>
                <w:bCs w:val="false"/>
                <w:sz w:val="19"/>
                <w:szCs w:val="19"/>
              </w:rPr>
              <w:t xml:space="preserve">Lead implementation on the ground. Set up sites and materials, recruit and support facilitators, hold the calendar and the two assessment windows, keep safeguarding pathways live, and be the bridge between the camps and Amala.</w:t>
            </w:r>
          </w:p>
        </w:tc>
      </w:tr>
      <w:tr>
        <w:tc>
          <w:tcPr>
            <w:tcW w:type="dxa" w:w="2687"/>
            <w:tcMar>
              <w:top w:type="dxa" w:w="70"/>
              <w:left w:type="dxa" w:w="130"/>
              <w:bottom w:type="dxa" w:w="70"/>
              <w:right w:type="dxa" w:w="130"/>
            </w:tcMar>
          </w:tcPr>
          <w:p>
            <w:pPr>
              <w:spacing w:line="260"/>
            </w:pPr>
            <w:r>
              <w:rPr>
                <w:b/>
                <w:bCs/>
                <w:color w:val="7A3B69"/>
                <w:sz w:val="19"/>
                <w:szCs w:val="19"/>
              </w:rPr>
              <w:t xml:space="preserve">Educators</w:t>
            </w:r>
          </w:p>
        </w:tc>
        <w:tc>
          <w:tcPr>
            <w:tcW w:type="dxa" w:w="6382"/>
            <w:tcMar>
              <w:top w:type="dxa" w:w="70"/>
              <w:left w:type="dxa" w:w="130"/>
              <w:bottom w:type="dxa" w:w="70"/>
              <w:right w:type="dxa" w:w="130"/>
            </w:tcMar>
          </w:tcPr>
          <w:p>
            <w:pPr>
              <w:spacing w:line="260"/>
            </w:pPr>
            <w:r>
              <w:rPr>
                <w:b w:val="false"/>
                <w:bCs w:val="false"/>
                <w:sz w:val="19"/>
                <w:szCs w:val="19"/>
              </w:rPr>
              <w:t xml:space="preserve">Deliver the programme. Each educator holds three functions — they facilitate the sessions, mentor learners 1:1, and assess the competencies. Everything they need is in the Educator Guide.</w:t>
            </w:r>
          </w:p>
        </w:tc>
      </w:tr>
      <w:tr>
        <w:tc>
          <w:tcPr>
            <w:tcW w:type="dxa" w:w="2687"/>
            <w:tcMar>
              <w:top w:type="dxa" w:w="70"/>
              <w:left w:type="dxa" w:w="130"/>
              <w:bottom w:type="dxa" w:w="70"/>
              <w:right w:type="dxa" w:w="130"/>
            </w:tcMar>
          </w:tcPr>
          <w:p>
            <w:pPr>
              <w:spacing w:line="260"/>
            </w:pPr>
            <w:r>
              <w:rPr>
                <w:b/>
                <w:bCs/>
                <w:color w:val="7A3B69"/>
                <w:sz w:val="19"/>
                <w:szCs w:val="19"/>
              </w:rPr>
              <w:t xml:space="preserve">NRC</w:t>
            </w:r>
          </w:p>
        </w:tc>
        <w:tc>
          <w:tcPr>
            <w:tcW w:type="dxa" w:w="6382"/>
            <w:tcMar>
              <w:top w:type="dxa" w:w="70"/>
              <w:left w:type="dxa" w:w="130"/>
              <w:bottom w:type="dxa" w:w="70"/>
              <w:right w:type="dxa" w:w="130"/>
            </w:tcMar>
          </w:tcPr>
          <w:p>
            <w:pPr>
              <w:spacing w:line="260"/>
            </w:pPr>
            <w:r>
              <w:rPr>
                <w:b w:val="false"/>
                <w:bCs w:val="false"/>
                <w:sz w:val="19"/>
                <w:szCs w:val="19"/>
              </w:rPr>
              <w:t xml:space="preserve">Owns the programme, employs and manages staff, and owns the Code of Conduct, safeguarding, and MHPSS/protection referral pathways.</w:t>
            </w:r>
          </w:p>
        </w:tc>
      </w:tr>
    </w:tbl>
    <w:p>
      <w:r>
        <w:br w:type="page"/>
      </w:r>
    </w:p>
    <w:p>
      <w:pPr>
        <w:pStyle w:val="Heading1"/>
        <w:keepNext/>
        <w:spacing w:after="140" w:before="320"/>
      </w:pPr>
      <w:r>
        <w:rPr>
          <w:b/>
          <w:bCs/>
          <w:color w:val="1F3A5F"/>
          <w:sz w:val="36"/>
          <w:szCs w:val="36"/>
        </w:rPr>
        <w:t xml:space="preserve">3. Setting up a cohort</w:t>
      </w:r>
    </w:p>
    <w:p>
      <w:pPr>
        <w:spacing w:after="140" w:before="0" w:line="300"/>
      </w:pPr>
      <w:r>
        <w:rPr>
          <w:sz w:val="22"/>
          <w:szCs w:val="22"/>
        </w:rPr>
        <w:t xml:space="preserve">Work through this before Week 1. Most of it you do once per site, then maintain.</w:t>
      </w:r>
    </w:p>
    <w:p>
      <w:pPr>
        <w:pStyle w:val="ListParagraph"/>
        <w:numPr>
          <w:ilvl w:val="0"/>
          <w:numId w:val="2"/>
        </w:numPr>
        <w:spacing w:after="80" w:line="300"/>
      </w:pPr>
      <w:r>
        <w:rPr>
          <w:sz w:val="22"/>
          <w:szCs w:val="22"/>
        </w:rPr>
        <w:t xml:space="preserve">Confirm the sites (CBLFs) and the space each offers. A CBLF is often a room in a teacher’s shelter — plan for no internet, and often no reliable power or learner devices.</w:t>
      </w:r>
    </w:p>
    <w:p>
      <w:pPr>
        <w:pStyle w:val="ListParagraph"/>
        <w:numPr>
          <w:ilvl w:val="0"/>
          <w:numId w:val="2"/>
        </w:numPr>
        <w:spacing w:after="80" w:line="300"/>
      </w:pPr>
      <w:r>
        <w:rPr>
          <w:sz w:val="22"/>
          <w:szCs w:val="22"/>
        </w:rPr>
        <w:t xml:space="preserve">Confirm facilitators. Plan for female facilitators and same-gender grouping wherever girls’ participation depends on it, and match language so learners can take part in the language they use at home. Keep mentor caseloads small enough that each learner is genuinely known.</w:t>
      </w:r>
    </w:p>
    <w:p>
      <w:pPr>
        <w:pStyle w:val="ListParagraph"/>
        <w:numPr>
          <w:ilvl w:val="0"/>
          <w:numId w:val="2"/>
        </w:numPr>
        <w:spacing w:after="80" w:line="300"/>
      </w:pPr>
      <w:r>
        <w:rPr>
          <w:sz w:val="22"/>
          <w:szCs w:val="22"/>
        </w:rPr>
        <w:t xml:space="preserve">Distribute the offline pack. Every resource is supplied ready-made and editable, distributed physically by USB or hard drive. The Educator Guide is the single document a facilitator delivers from — it carries the unit plans, the learner books, the cards and the assessment records inside it — with the slides and the picture-card PDF alongside on the USB.</w:t>
      </w:r>
    </w:p>
    <w:p>
      <w:pPr>
        <w:pStyle w:val="ListParagraph"/>
        <w:numPr>
          <w:ilvl w:val="0"/>
          <w:numId w:val="2"/>
        </w:numPr>
        <w:spacing w:after="80" w:line="300"/>
      </w:pPr>
      <w:r>
        <w:rPr>
          <w:sz w:val="22"/>
          <w:szCs w:val="22"/>
        </w:rPr>
        <w:t xml:space="preserve">Check every site can print what it needs — at minimum one learner book per learner per component — or has a screen, or can work from a single held-up copy.</w:t>
      </w:r>
    </w:p>
    <w:p>
      <w:pPr>
        <w:pStyle w:val="ListParagraph"/>
        <w:numPr>
          <w:ilvl w:val="0"/>
          <w:numId w:val="2"/>
        </w:numPr>
        <w:spacing w:after="80" w:line="300"/>
      </w:pPr>
      <w:r>
        <w:rPr>
          <w:sz w:val="22"/>
          <w:szCs w:val="22"/>
        </w:rPr>
        <w:t xml:space="preserve">Make the safeguarding pathway concrete at each site. Before any facilitator takes a mentoring caseload, make sure they know NRC’s Code of Conduct and the camp MHPSS and protection referral pathway — who to hand a concern to, and how.</w:t>
      </w:r>
    </w:p>
    <w:p>
      <w:pPr>
        <w:pStyle w:val="ListParagraph"/>
        <w:numPr>
          <w:ilvl w:val="0"/>
          <w:numId w:val="2"/>
        </w:numPr>
        <w:spacing w:after="80" w:line="300"/>
      </w:pPr>
      <w:r>
        <w:rPr>
          <w:sz w:val="22"/>
          <w:szCs w:val="22"/>
        </w:rPr>
        <w:t xml:space="preserve">Run diagnostic intake. Place each learner, check English proficiency where needed (the cohort is below B1, many not yet literate in any language), and pair each learner with a mentor.</w:t>
      </w:r>
    </w:p>
    <w:p>
      <w:pPr>
        <w:pStyle w:val="Heading1"/>
        <w:keepNext/>
        <w:spacing w:after="140" w:before="320"/>
      </w:pPr>
      <w:r>
        <w:rPr>
          <w:b/>
          <w:bCs/>
          <w:color w:val="1F3A5F"/>
          <w:sz w:val="36"/>
          <w:szCs w:val="36"/>
        </w:rPr>
        <w:t xml:space="preserve">4. The programme structure and the 12-week rhythm</w:t>
      </w:r>
    </w:p>
    <w:p>
      <w:pPr>
        <w:spacing w:after="140" w:before="0" w:line="300"/>
      </w:pPr>
      <w:r>
        <w:rPr>
          <w:sz w:val="22"/>
          <w:szCs w:val="22"/>
        </w:rPr>
        <w:t xml:space="preserve">The programme has three taught components plus ongoing mentoring, running side by side across the same weeks.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Component</w:t>
            </w:r>
          </w:p>
        </w:tc>
        <w:tc>
          <w:tcPr>
            <w:tcW w:type="dxa" w:w="6382"/>
            <w:tcMar>
              <w:top w:type="dxa" w:w="70"/>
              <w:left w:type="dxa" w:w="130"/>
              <w:bottom w:type="dxa" w:w="70"/>
              <w:right w:type="dxa" w:w="130"/>
            </w:tcMar>
          </w:tcPr>
          <w:p>
            <w:pPr>
              <w:spacing w:line="260"/>
            </w:pPr>
            <w:r>
              <w:rPr>
                <w:b/>
                <w:bCs/>
                <w:color w:val="1F3A5F"/>
                <w:sz w:val="19"/>
                <w:szCs w:val="19"/>
              </w:rPr>
              <w:t xml:space="preserve">Hours and cadence</w:t>
            </w:r>
          </w:p>
        </w:tc>
      </w:tr>
      <w:tr>
        <w:tc>
          <w:tcPr>
            <w:tcW w:type="dxa" w:w="2687"/>
            <w:tcMar>
              <w:top w:type="dxa" w:w="70"/>
              <w:left w:type="dxa" w:w="130"/>
              <w:bottom w:type="dxa" w:w="70"/>
              <w:right w:type="dxa" w:w="130"/>
            </w:tcMar>
          </w:tcPr>
          <w:p>
            <w:pPr>
              <w:spacing w:line="260"/>
            </w:pPr>
            <w:r>
              <w:rPr>
                <w:b/>
                <w:bCs/>
                <w:color w:val="7A3B69"/>
                <w:sz w:val="19"/>
                <w:szCs w:val="19"/>
              </w:rPr>
              <w:t xml:space="preserve">Agency in Learning</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Develops Set and Pursue Goals (assessed).</w:t>
            </w:r>
          </w:p>
        </w:tc>
      </w:tr>
      <w:tr>
        <w:tc>
          <w:tcPr>
            <w:tcW w:type="dxa" w:w="2687"/>
            <w:tcMar>
              <w:top w:type="dxa" w:w="70"/>
              <w:left w:type="dxa" w:w="130"/>
              <w:bottom w:type="dxa" w:w="70"/>
              <w:right w:type="dxa" w:w="130"/>
            </w:tcMar>
          </w:tcPr>
          <w:p>
            <w:pPr>
              <w:spacing w:line="260"/>
            </w:pPr>
            <w:r>
              <w:rPr>
                <w:b/>
                <w:bCs/>
                <w:color w:val="7A3B69"/>
                <w:sz w:val="19"/>
                <w:szCs w:val="19"/>
              </w:rPr>
              <w:t xml:space="preserve">Research Project</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Develops Investigate Real World Issues (assessed).</w:t>
            </w:r>
          </w:p>
        </w:tc>
      </w:tr>
      <w:tr>
        <w:tc>
          <w:tcPr>
            <w:tcW w:type="dxa" w:w="2687"/>
            <w:tcMar>
              <w:top w:type="dxa" w:w="70"/>
              <w:left w:type="dxa" w:w="130"/>
              <w:bottom w:type="dxa" w:w="70"/>
              <w:right w:type="dxa" w:w="130"/>
            </w:tcMar>
          </w:tcPr>
          <w:p>
            <w:pPr>
              <w:spacing w:line="260"/>
            </w:pPr>
            <w:r>
              <w:rPr>
                <w:b/>
                <w:bCs/>
                <w:color w:val="7A3B69"/>
                <w:sz w:val="19"/>
                <w:szCs w:val="19"/>
              </w:rPr>
              <w:t xml:space="preserve">English Language Development</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Compulsory in this edition; assessed formatively against A1 Can-Do outcomes, not one of the two graded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Mentoring and Wellbeing</w:t>
            </w:r>
          </w:p>
        </w:tc>
        <w:tc>
          <w:tcPr>
            <w:tcW w:type="dxa" w:w="6382"/>
            <w:tcMar>
              <w:top w:type="dxa" w:w="70"/>
              <w:left w:type="dxa" w:w="130"/>
              <w:bottom w:type="dxa" w:w="70"/>
              <w:right w:type="dxa" w:w="130"/>
            </w:tcMar>
          </w:tcPr>
          <w:p>
            <w:pPr>
              <w:spacing w:line="260"/>
            </w:pPr>
            <w:r>
              <w:rPr>
                <w:b w:val="false"/>
                <w:bCs w:val="false"/>
                <w:sz w:val="19"/>
                <w:szCs w:val="19"/>
              </w:rPr>
              <w:t xml:space="preserve">Ongoing · short 1:1 or small-group conversations folded into the weekly in-person time. Not a fixed block of hours.</w:t>
            </w:r>
          </w:p>
        </w:tc>
      </w:tr>
    </w:tbl>
    <w:p>
      <w:pPr>
        <w:spacing w:after="140" w:before="0" w:line="300"/>
      </w:pPr>
      <w:r>
        <w:rPr>
          <w:sz w:val="22"/>
          <w:szCs w:val="22"/>
        </w:rPr>
        <w:t xml:space="preserve">All three taught components run side by side across the same 10–12 weeks. At 3 hours in-person and 2 hours independent each, a full week is about 9 hours in-person and 6 hours of independent tasks (done at home between sessions), with mentoring folded into the in-person time — around 150 hours of taught learning in total.</w:t>
      </w:r>
    </w:p>
    <w:p>
      <w:pPr>
        <w:pStyle w:val="Heading2"/>
        <w:keepNext/>
        <w:spacing w:after="100" w:before="280"/>
      </w:pPr>
      <w:r>
        <w:rPr>
          <w:b/>
          <w:bCs/>
          <w:color w:val="7A3B69"/>
          <w:sz w:val="28"/>
          <w:szCs w:val="28"/>
        </w:rPr>
        <w:t xml:space="preserve">What a week could look like</w:t>
      </w:r>
    </w:p>
    <w:p>
      <w:pPr>
        <w:spacing w:after="140" w:before="0" w:line="300"/>
      </w:pPr>
      <w:r>
        <w:rPr>
          <w:sz w:val="22"/>
          <w:szCs w:val="22"/>
        </w:rPr>
        <w:t xml:space="preserve">The simplest way to place the hours is three learning days a week: three hours with the educator each day — one hour per component — and about two hours of independent work at home before the next day. Mentoring check-ins happen inside the in-person time.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947"/>
        <w:gridCol w:w="3695"/>
      </w:tblGrid>
      <w:tr>
        <w:trPr>
          <w:tblHeader/>
        </w:trPr>
        <w:tc>
          <w:tcPr>
            <w:tcW w:type="dxa" w:w="1427"/>
            <w:tcMar>
              <w:top w:type="dxa" w:w="70"/>
              <w:left w:type="dxa" w:w="130"/>
              <w:bottom w:type="dxa" w:w="70"/>
              <w:right w:type="dxa" w:w="130"/>
            </w:tcMar>
          </w:tcPr>
          <w:p>
            <w:pPr>
              <w:spacing w:line="260"/>
            </w:pPr>
            <w:r>
              <w:rPr>
                <w:b/>
                <w:bCs/>
                <w:color w:val="1F3A5F"/>
                <w:sz w:val="19"/>
                <w:szCs w:val="19"/>
              </w:rPr>
              <w:t xml:space="preserve">Learning day</w:t>
            </w:r>
          </w:p>
        </w:tc>
        <w:tc>
          <w:tcPr>
            <w:tcW w:type="dxa" w:w="3947"/>
            <w:tcMar>
              <w:top w:type="dxa" w:w="70"/>
              <w:left w:type="dxa" w:w="130"/>
              <w:bottom w:type="dxa" w:w="70"/>
              <w:right w:type="dxa" w:w="130"/>
            </w:tcMar>
          </w:tcPr>
          <w:p>
            <w:pPr>
              <w:spacing w:line="260"/>
            </w:pPr>
            <w:r>
              <w:rPr>
                <w:b/>
                <w:bCs/>
                <w:color w:val="1F3A5F"/>
                <w:sz w:val="19"/>
                <w:szCs w:val="19"/>
              </w:rPr>
              <w:t xml:space="preserve">With you, in the CBLF — 3 hours</w:t>
            </w:r>
          </w:p>
        </w:tc>
        <w:tc>
          <w:tcPr>
            <w:tcW w:type="dxa" w:w="3695"/>
            <w:tcMar>
              <w:top w:type="dxa" w:w="70"/>
              <w:left w:type="dxa" w:w="130"/>
              <w:bottom w:type="dxa" w:w="70"/>
              <w:right w:type="dxa" w:w="130"/>
            </w:tcMar>
          </w:tcPr>
          <w:p>
            <w:pPr>
              <w:spacing w:line="260"/>
            </w:pPr>
            <w:r>
              <w:rPr>
                <w:b/>
                <w:bCs/>
                <w:color w:val="1F3A5F"/>
                <w:sz w:val="19"/>
                <w:szCs w:val="19"/>
              </w:rPr>
              <w:t xml:space="preserve">At home before the next day — about 2 hours</w:t>
            </w:r>
          </w:p>
        </w:tc>
      </w:tr>
      <w:tr>
        <w:tc>
          <w:tcPr>
            <w:tcW w:type="dxa" w:w="1427"/>
            <w:tcMar>
              <w:top w:type="dxa" w:w="70"/>
              <w:left w:type="dxa" w:w="130"/>
              <w:bottom w:type="dxa" w:w="70"/>
              <w:right w:type="dxa" w:w="130"/>
            </w:tcMar>
          </w:tcPr>
          <w:p>
            <w:pPr>
              <w:spacing w:line="260"/>
            </w:pPr>
            <w:r>
              <w:rPr>
                <w:b/>
                <w:bCs/>
                <w:color w:val="7A3B69"/>
                <w:sz w:val="19"/>
                <w:szCs w:val="19"/>
              </w:rPr>
              <w:t xml:space="preserve">Day 1</w:t>
            </w:r>
          </w:p>
        </w:tc>
        <w:tc>
          <w:tcPr>
            <w:tcW w:type="dxa" w:w="3947"/>
            <w:tcMar>
              <w:top w:type="dxa" w:w="70"/>
              <w:left w:type="dxa" w:w="130"/>
              <w:bottom w:type="dxa" w:w="70"/>
              <w:right w:type="dxa" w:w="130"/>
            </w:tcMar>
          </w:tcPr>
          <w:p>
            <w:pPr>
              <w:spacing w:line="260"/>
            </w:pPr>
            <w:r>
              <w:rPr>
                <w:b w:val="false"/>
                <w:bCs w:val="false"/>
                <w:sz w:val="19"/>
                <w:szCs w:val="19"/>
              </w:rPr>
              <w:t xml:space="preserve">Hour 1 — Agency in Learning</w:t>
            </w:r>
          </w:p>
          <w:p>
            <w:pPr>
              <w:spacing w:line="260"/>
            </w:pPr>
            <w:r>
              <w:rPr>
                <w:b w:val="false"/>
                <w:bCs w:val="false"/>
                <w:sz w:val="19"/>
                <w:szCs w:val="19"/>
              </w:rPr>
              <w:t xml:space="preserve">Hour 2 — English</w:t>
            </w:r>
          </w:p>
          <w:p>
            <w:pPr>
              <w:spacing w:line="260"/>
            </w:pPr>
            <w:r>
              <w:rPr>
                <w:b w:val="false"/>
                <w:bCs w:val="false"/>
                <w:sz w:val="19"/>
                <w:szCs w:val="19"/>
              </w:rPr>
              <w:t xml:space="preserve">Hour 3 — Research Project</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tc>
      </w:tr>
      <w:tr>
        <w:tc>
          <w:tcPr>
            <w:tcW w:type="dxa" w:w="1427"/>
            <w:tcMar>
              <w:top w:type="dxa" w:w="70"/>
              <w:left w:type="dxa" w:w="130"/>
              <w:bottom w:type="dxa" w:w="70"/>
              <w:right w:type="dxa" w:w="130"/>
            </w:tcMar>
          </w:tcPr>
          <w:p>
            <w:pPr>
              <w:spacing w:line="260"/>
            </w:pPr>
            <w:r>
              <w:rPr>
                <w:b/>
                <w:bCs/>
                <w:color w:val="7A3B69"/>
                <w:sz w:val="19"/>
                <w:szCs w:val="19"/>
              </w:rPr>
              <w:t xml:space="preserve">Day 2</w:t>
            </w:r>
          </w:p>
        </w:tc>
        <w:tc>
          <w:tcPr>
            <w:tcW w:type="dxa" w:w="3947"/>
            <w:tcMar>
              <w:top w:type="dxa" w:w="70"/>
              <w:left w:type="dxa" w:w="130"/>
              <w:bottom w:type="dxa" w:w="70"/>
              <w:right w:type="dxa" w:w="130"/>
            </w:tcMar>
          </w:tcPr>
          <w:p>
            <w:pPr>
              <w:spacing w:line="260"/>
            </w:pPr>
            <w:r>
              <w:rPr>
                <w:b w:val="false"/>
                <w:bCs w:val="false"/>
                <w:sz w:val="19"/>
                <w:szCs w:val="19"/>
              </w:rPr>
              <w:t xml:space="preserve">Hour 1 — English</w:t>
            </w:r>
          </w:p>
          <w:p>
            <w:pPr>
              <w:spacing w:line="260"/>
            </w:pPr>
            <w:r>
              <w:rPr>
                <w:b w:val="false"/>
                <w:bCs w:val="false"/>
                <w:sz w:val="19"/>
                <w:szCs w:val="19"/>
              </w:rPr>
              <w:t xml:space="preserve">Hour 2 — Research Project</w:t>
            </w:r>
          </w:p>
          <w:p>
            <w:pPr>
              <w:spacing w:line="260"/>
            </w:pPr>
            <w:r>
              <w:rPr>
                <w:b w:val="false"/>
                <w:bCs w:val="false"/>
                <w:sz w:val="19"/>
                <w:szCs w:val="19"/>
              </w:rPr>
              <w:t xml:space="preserve">Hour 3 — Agency in Learning</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tc>
      </w:tr>
      <w:tr>
        <w:tc>
          <w:tcPr>
            <w:tcW w:type="dxa" w:w="1427"/>
            <w:tcMar>
              <w:top w:type="dxa" w:w="70"/>
              <w:left w:type="dxa" w:w="130"/>
              <w:bottom w:type="dxa" w:w="70"/>
              <w:right w:type="dxa" w:w="130"/>
            </w:tcMar>
          </w:tcPr>
          <w:p>
            <w:pPr>
              <w:spacing w:line="260"/>
            </w:pPr>
            <w:r>
              <w:rPr>
                <w:b/>
                <w:bCs/>
                <w:color w:val="7A3B69"/>
                <w:sz w:val="19"/>
                <w:szCs w:val="19"/>
              </w:rPr>
              <w:t xml:space="preserve">Day 3</w:t>
            </w:r>
          </w:p>
        </w:tc>
        <w:tc>
          <w:tcPr>
            <w:tcW w:type="dxa" w:w="3947"/>
            <w:tcMar>
              <w:top w:type="dxa" w:w="70"/>
              <w:left w:type="dxa" w:w="130"/>
              <w:bottom w:type="dxa" w:w="70"/>
              <w:right w:type="dxa" w:w="130"/>
            </w:tcMar>
          </w:tcPr>
          <w:p>
            <w:pPr>
              <w:spacing w:line="260"/>
            </w:pPr>
            <w:r>
              <w:rPr>
                <w:b w:val="false"/>
                <w:bCs w:val="false"/>
                <w:sz w:val="19"/>
                <w:szCs w:val="19"/>
              </w:rPr>
              <w:t xml:space="preserve">Hour 1 — Research Project</w:t>
            </w:r>
          </w:p>
          <w:p>
            <w:pPr>
              <w:spacing w:line="260"/>
            </w:pPr>
            <w:r>
              <w:rPr>
                <w:b w:val="false"/>
                <w:bCs w:val="false"/>
                <w:sz w:val="19"/>
                <w:szCs w:val="19"/>
              </w:rPr>
              <w:t xml:space="preserve">Hour 2 — Agency in Learning</w:t>
            </w:r>
          </w:p>
          <w:p>
            <w:pPr>
              <w:spacing w:line="260"/>
            </w:pPr>
            <w:r>
              <w:rPr>
                <w:b w:val="false"/>
                <w:bCs w:val="false"/>
                <w:sz w:val="19"/>
                <w:szCs w:val="19"/>
              </w:rPr>
              <w:t xml:space="preserve">Hour 3 — English</w:t>
            </w:r>
          </w:p>
          <w:p>
            <w:pPr>
              <w:spacing w:line="260"/>
            </w:pPr>
            <w:r>
              <w:rPr>
                <w:b w:val="false"/>
                <w:bCs w:val="false"/>
                <w:sz w:val="19"/>
                <w:szCs w:val="19"/>
              </w:rPr>
              <w:t xml:space="preserve">…then close the week: a short small-group wellbeing check and reflection</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tc>
      </w:tr>
    </w:tbl>
    <w:p>
      <w:pPr>
        <w:spacing w:after="140" w:before="140" w:line="300"/>
      </w:pPr>
      <w:r>
        <w:rPr>
          <w:b/>
          <w:bCs/>
          <w:color w:val="6E7A2E"/>
          <w:sz w:val="21"/>
          <w:szCs w:val="21"/>
        </w:rPr>
        <w:t xml:space="preserve">3 learning days × 3 hours with you = 9 in-person hours. 3 days × about 2 hours at home = 6 independent hours. That is 15 hours a week, and about 150 hours across the 10 weeks of delivery — the full programme.</w:t>
      </w:r>
    </w:p>
    <w:p>
      <w:pPr>
        <w:spacing w:after="140" w:before="0" w:line="300"/>
      </w:pPr>
      <w:r>
        <w:rPr>
          <w:sz w:val="22"/>
          <w:szCs w:val="22"/>
        </w:rPr>
        <w:t xml:space="preserve">This is one way to place the hours, not the timetable. What is fixed is the weekly total per component — 3 hours in-person and 2 hours independent — and that all three run side by side. Everything else is yours to set with your coordinator: which days you use (place your own rest day, for example Friday), and whether you spread the same hours over more days with shorter sessions. Before the Research Project’s shared challenge is agreed, run Agency in Learning and English only — two hours a day with you instead of three.</w:t>
      </w:r>
    </w:p>
    <w:p>
      <w:pPr>
        <w:pStyle w:val="Heading2"/>
        <w:keepNext/>
        <w:spacing w:after="100" w:before="280"/>
      </w:pPr>
      <w:r>
        <w:rPr>
          <w:b/>
          <w:bCs/>
          <w:color w:val="7A3B69"/>
          <w:sz w:val="28"/>
          <w:szCs w:val="28"/>
        </w:rPr>
        <w:t xml:space="preserve">The 12-week rhythm</w:t>
      </w:r>
    </w:p>
    <w:p>
      <w:pPr>
        <w:spacing w:after="140" w:before="0" w:line="300"/>
      </w:pPr>
      <w:r>
        <w:rPr>
          <w:sz w:val="22"/>
          <w:szCs w:val="22"/>
        </w:rPr>
        <w:t xml:space="preserve">Around that weekly learning, hold this assessment rhythm: five weeks of learning, a supported assessment, five more weeks, then the final assessment. Your job is to protect the two assessment windows and keep them on the calendar.</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happens</w:t>
            </w:r>
          </w:p>
        </w:tc>
      </w:tr>
      <w:tr>
        <w:tc>
          <w:tcPr>
            <w:tcW w:type="dxa" w:w="2687"/>
            <w:tcMar>
              <w:top w:type="dxa" w:w="70"/>
              <w:left w:type="dxa" w:w="130"/>
              <w:bottom w:type="dxa" w:w="70"/>
              <w:right w:type="dxa" w:w="130"/>
            </w:tcMar>
          </w:tcPr>
          <w:p>
            <w:pPr>
              <w:spacing w:line="260"/>
            </w:pPr>
            <w:r>
              <w:rPr>
                <w:b/>
                <w:bCs/>
                <w:color w:val="7A3B69"/>
                <w:sz w:val="19"/>
                <w:szCs w:val="19"/>
              </w:rPr>
              <w:t xml:space="preserve">Before Week 1</w:t>
            </w:r>
          </w:p>
        </w:tc>
        <w:tc>
          <w:tcPr>
            <w:tcW w:type="dxa" w:w="6382"/>
            <w:tcMar>
              <w:top w:type="dxa" w:w="70"/>
              <w:left w:type="dxa" w:w="130"/>
              <w:bottom w:type="dxa" w:w="70"/>
              <w:right w:type="dxa" w:w="130"/>
            </w:tcMar>
          </w:tcPr>
          <w:p>
            <w:pPr>
              <w:spacing w:line="260"/>
            </w:pPr>
            <w:r>
              <w:rPr>
                <w:b w:val="false"/>
                <w:bCs w:val="false"/>
                <w:sz w:val="19"/>
                <w:szCs w:val="19"/>
              </w:rPr>
              <w:t xml:space="preserve">Diagnostic intake. Each learner is placed and, where needed, English proficiency is checked (below B1). Learners are paired with a mentor.</w:t>
            </w:r>
          </w:p>
        </w:tc>
      </w:tr>
      <w:tr>
        <w:tc>
          <w:tcPr>
            <w:tcW w:type="dxa" w:w="2687"/>
            <w:tcMar>
              <w:top w:type="dxa" w:w="70"/>
              <w:left w:type="dxa" w:w="130"/>
              <w:bottom w:type="dxa" w:w="70"/>
              <w:right w:type="dxa" w:w="130"/>
            </w:tcMar>
          </w:tcPr>
          <w:p>
            <w:pPr>
              <w:spacing w:line="260"/>
            </w:pPr>
            <w:r>
              <w:rPr>
                <w:b/>
                <w:bCs/>
                <w:color w:val="7A3B69"/>
                <w:sz w:val="19"/>
                <w:szCs w:val="19"/>
              </w:rPr>
              <w:t xml:space="preserve">Weeks 1–5</w:t>
            </w:r>
          </w:p>
        </w:tc>
        <w:tc>
          <w:tcPr>
            <w:tcW w:type="dxa" w:w="6382"/>
            <w:tcMar>
              <w:top w:type="dxa" w:w="70"/>
              <w:left w:type="dxa" w:w="130"/>
              <w:bottom w:type="dxa" w:w="70"/>
              <w:right w:type="dxa" w:w="130"/>
            </w:tcMar>
          </w:tcPr>
          <w:p>
            <w:pPr>
              <w:spacing w:line="260"/>
            </w:pPr>
            <w:r>
              <w:rPr>
                <w:b w:val="false"/>
                <w:bCs w:val="false"/>
                <w:sz w:val="19"/>
                <w:szCs w:val="19"/>
              </w:rPr>
              <w:t xml:space="preserve">First block of learning. Educators deliver the component sessions and begin gathering evidence of each learner’s competency as they go — from workbooks, steps taken, and what learners say and do.</w:t>
            </w:r>
          </w:p>
        </w:tc>
      </w:tr>
      <w:tr>
        <w:tc>
          <w:tcPr>
            <w:tcW w:type="dxa" w:w="2687"/>
            <w:tcMar>
              <w:top w:type="dxa" w:w="70"/>
              <w:left w:type="dxa" w:w="130"/>
              <w:bottom w:type="dxa" w:w="70"/>
              <w:right w:type="dxa" w:w="130"/>
            </w:tcMar>
          </w:tcPr>
          <w:p>
            <w:pPr>
              <w:spacing w:line="260"/>
            </w:pPr>
            <w:r>
              <w:rPr>
                <w:b/>
                <w:bCs/>
                <w:color w:val="7A3B69"/>
                <w:sz w:val="19"/>
                <w:szCs w:val="19"/>
              </w:rPr>
              <w:t xml:space="preserve">Week 6</w:t>
            </w:r>
          </w:p>
        </w:tc>
        <w:tc>
          <w:tcPr>
            <w:tcW w:type="dxa" w:w="6382"/>
            <w:tcMar>
              <w:top w:type="dxa" w:w="70"/>
              <w:left w:type="dxa" w:w="130"/>
              <w:bottom w:type="dxa" w:w="70"/>
              <w:right w:type="dxa" w:w="130"/>
            </w:tcMar>
          </w:tcPr>
          <w:p>
            <w:pPr>
              <w:spacing w:line="260"/>
            </w:pPr>
            <w:r>
              <w:rPr>
                <w:b w:val="false"/>
                <w:bCs w:val="false"/>
                <w:sz w:val="19"/>
                <w:szCs w:val="19"/>
              </w:rPr>
              <w:t xml:space="preserve">Supported (formative) assessment. Educators make a first, provisional judgement of each learner against the Proficiency Scale — with Amala’s support and calibration. This is a rehearsal and a checkpoint, not the final grade.</w:t>
            </w:r>
          </w:p>
        </w:tc>
      </w:tr>
      <w:tr>
        <w:tc>
          <w:tcPr>
            <w:tcW w:type="dxa" w:w="2687"/>
            <w:tcMar>
              <w:top w:type="dxa" w:w="70"/>
              <w:left w:type="dxa" w:w="130"/>
              <w:bottom w:type="dxa" w:w="70"/>
              <w:right w:type="dxa" w:w="130"/>
            </w:tcMar>
          </w:tcPr>
          <w:p>
            <w:pPr>
              <w:spacing w:line="260"/>
            </w:pPr>
            <w:r>
              <w:rPr>
                <w:b/>
                <w:bCs/>
                <w:color w:val="7A3B69"/>
                <w:sz w:val="19"/>
                <w:szCs w:val="19"/>
              </w:rPr>
              <w:t xml:space="preserve">Weeks 7–11</w:t>
            </w:r>
          </w:p>
        </w:tc>
        <w:tc>
          <w:tcPr>
            <w:tcW w:type="dxa" w:w="6382"/>
            <w:tcMar>
              <w:top w:type="dxa" w:w="70"/>
              <w:left w:type="dxa" w:w="130"/>
              <w:bottom w:type="dxa" w:w="70"/>
              <w:right w:type="dxa" w:w="130"/>
            </w:tcMar>
          </w:tcPr>
          <w:p>
            <w:pPr>
              <w:spacing w:line="260"/>
            </w:pPr>
            <w:r>
              <w:rPr>
                <w:b w:val="false"/>
                <w:bCs w:val="false"/>
                <w:sz w:val="19"/>
                <w:szCs w:val="19"/>
              </w:rPr>
              <w:t xml:space="preserve">Second block of learning. Educators keep building the competencies and keep gathering evidence, guided by what Week 6 surfaced about each learner.</w:t>
            </w:r>
          </w:p>
        </w:tc>
      </w:tr>
      <w:tr>
        <w:tc>
          <w:tcPr>
            <w:tcW w:type="dxa" w:w="2687"/>
            <w:tcMar>
              <w:top w:type="dxa" w:w="70"/>
              <w:left w:type="dxa" w:w="130"/>
              <w:bottom w:type="dxa" w:w="70"/>
              <w:right w:type="dxa" w:w="130"/>
            </w:tcMar>
          </w:tcPr>
          <w:p>
            <w:pPr>
              <w:spacing w:line="260"/>
            </w:pPr>
            <w:r>
              <w:rPr>
                <w:b/>
                <w:bCs/>
                <w:color w:val="7A3B69"/>
                <w:sz w:val="19"/>
                <w:szCs w:val="19"/>
              </w:rPr>
              <w:t xml:space="preserve">Week 12</w:t>
            </w:r>
          </w:p>
        </w:tc>
        <w:tc>
          <w:tcPr>
            <w:tcW w:type="dxa" w:w="6382"/>
            <w:tcMar>
              <w:top w:type="dxa" w:w="70"/>
              <w:left w:type="dxa" w:w="130"/>
              <w:bottom w:type="dxa" w:w="70"/>
              <w:right w:type="dxa" w:w="130"/>
            </w:tcMar>
          </w:tcPr>
          <w:p>
            <w:pPr>
              <w:spacing w:line="260"/>
            </w:pPr>
            <w:r>
              <w:rPr>
                <w:b w:val="false"/>
                <w:bCs w:val="false"/>
                <w:sz w:val="19"/>
                <w:szCs w:val="19"/>
              </w:rPr>
              <w:t xml:space="preserve">Final (summative) assessment. Educators make their final judgement of each learner in the two assessed competencies, against the Proficiency Scale.</w:t>
            </w:r>
          </w:p>
        </w:tc>
      </w:tr>
      <w:tr>
        <w:tc>
          <w:tcPr>
            <w:tcW w:type="dxa" w:w="2687"/>
            <w:tcMar>
              <w:top w:type="dxa" w:w="70"/>
              <w:left w:type="dxa" w:w="130"/>
              <w:bottom w:type="dxa" w:w="70"/>
              <w:right w:type="dxa" w:w="130"/>
            </w:tcMar>
          </w:tcPr>
          <w:p>
            <w:pPr>
              <w:spacing w:line="260"/>
            </w:pPr>
            <w:r>
              <w:rPr>
                <w:b/>
                <w:bCs/>
                <w:color w:val="7A3B69"/>
                <w:sz w:val="19"/>
                <w:szCs w:val="19"/>
              </w:rPr>
              <w:t xml:space="preserve">After Week 12</w:t>
            </w:r>
          </w:p>
        </w:tc>
        <w:tc>
          <w:tcPr>
            <w:tcW w:type="dxa" w:w="6382"/>
            <w:tcMar>
              <w:top w:type="dxa" w:w="70"/>
              <w:left w:type="dxa" w:w="130"/>
              <w:bottom w:type="dxa" w:w="70"/>
              <w:right w:type="dxa" w:w="130"/>
            </w:tcMar>
          </w:tcPr>
          <w:p>
            <w:pPr>
              <w:spacing w:line="260"/>
            </w:pPr>
            <w:r>
              <w:rPr>
                <w:b w:val="false"/>
                <w:bCs w:val="false"/>
                <w:sz w:val="19"/>
                <w:szCs w:val="19"/>
              </w:rPr>
              <w:t xml:space="preserve">Amala moderation. Amala reviews a sample of judgements against the evidence to confirm they are consistent and fair, and the readiness decision is confirmed.</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THE TWO ASSESSMENT POINTS, IN ONE LINE</w:t>
            </w:r>
          </w:p>
          <w:p>
            <w:pPr>
              <w:spacing w:after="90" w:before="0" w:line="300"/>
            </w:pPr>
            <w:r>
              <w:rPr>
                <w:sz w:val="21"/>
                <w:szCs w:val="21"/>
              </w:rPr>
              <w:t xml:space="preserve">Week 6 — supported assessment: a first, provisional judgement, made with Amala’s support. A checkpoint and a rehearsal.</w:t>
            </w:r>
          </w:p>
          <w:p>
            <w:pPr>
              <w:spacing w:after="0" w:before="0" w:line="300"/>
            </w:pPr>
            <w:r>
              <w:rPr>
                <w:sz w:val="21"/>
                <w:szCs w:val="21"/>
              </w:rPr>
              <w:t xml:space="preserve">Week 12 — final assessment: the educators’ final judgement of the two competencies, which Amala then moderates.</w:t>
            </w:r>
          </w:p>
        </w:tc>
      </w:tr>
    </w:tbl>
    <w:p>
      <w:r>
        <w:br w:type="page"/>
      </w:r>
    </w:p>
    <w:p>
      <w:pPr>
        <w:pStyle w:val="Heading1"/>
        <w:keepNext/>
        <w:spacing w:after="140" w:before="320"/>
      </w:pPr>
      <w:r>
        <w:rPr>
          <w:b/>
          <w:bCs/>
          <w:color w:val="1F3A5F"/>
          <w:sz w:val="36"/>
          <w:szCs w:val="36"/>
        </w:rPr>
        <w:t xml:space="preserve">5. Coordinating assessment and moderation</w:t>
      </w:r>
    </w:p>
    <w:p>
      <w:pPr>
        <w:spacing w:after="140" w:before="0" w:line="300"/>
      </w:pPr>
      <w:r>
        <w:rPr>
          <w:sz w:val="22"/>
          <w:szCs w:val="22"/>
        </w:rPr>
        <w:t xml:space="preserve">Assessment rests on educator judgement across varied evidence, not on a single test. Your role is to make that judgement possible and fair.</w:t>
      </w:r>
    </w:p>
    <w:p>
      <w:pPr>
        <w:keepNext/>
        <w:spacing w:after="60" w:before="180"/>
      </w:pPr>
      <w:r>
        <w:rPr>
          <w:b/>
          <w:bCs/>
          <w:color w:val="6E7A2E"/>
          <w:spacing w:val="24"/>
          <w:sz w:val="17"/>
          <w:szCs w:val="17"/>
        </w:rPr>
        <w:t xml:space="preserve">BEFORE WEEK 6</w:t>
      </w:r>
    </w:p>
    <w:p>
      <w:pPr>
        <w:pStyle w:val="ListParagraph"/>
        <w:numPr>
          <w:ilvl w:val="0"/>
          <w:numId w:val="1"/>
        </w:numPr>
        <w:spacing w:after="80" w:line="300"/>
      </w:pPr>
      <w:r>
        <w:rPr>
          <w:sz w:val="22"/>
          <w:szCs w:val="22"/>
        </w:rPr>
        <w:t xml:space="preserve">Check educators are gathering evidence as they teach — from workbooks, steps taken, the growth path, and what learners say and do — not leaving it to the end. Much of this evidence is oral and visual, because many learners are not yet literate; that is expected.</w:t>
      </w:r>
    </w:p>
    <w:p>
      <w:pPr>
        <w:pStyle w:val="ListParagraph"/>
        <w:numPr>
          <w:ilvl w:val="0"/>
          <w:numId w:val="1"/>
        </w:numPr>
        <w:spacing w:after="80" w:line="300"/>
      </w:pPr>
      <w:r>
        <w:rPr>
          <w:sz w:val="22"/>
          <w:szCs w:val="22"/>
        </w:rPr>
        <w:t xml:space="preserve">Check each educator has the two assessment records (in Part 9 of their guide) copied, one per learner, and started.</w:t>
      </w:r>
    </w:p>
    <w:p>
      <w:pPr>
        <w:pStyle w:val="ListParagraph"/>
        <w:numPr>
          <w:ilvl w:val="0"/>
          <w:numId w:val="1"/>
        </w:numPr>
        <w:spacing w:after="80" w:line="300"/>
      </w:pPr>
      <w:r>
        <w:rPr>
          <w:sz w:val="22"/>
          <w:szCs w:val="22"/>
        </w:rPr>
        <w:t xml:space="preserve">Schedule the Week-6 supported assessment with Amala, so educators make their first judgements with support and calibration.</w:t>
      </w:r>
    </w:p>
    <w:p>
      <w:pPr>
        <w:keepNext/>
        <w:spacing w:after="60" w:before="180"/>
      </w:pPr>
      <w:r>
        <w:rPr>
          <w:b/>
          <w:bCs/>
          <w:color w:val="6E7A2E"/>
          <w:spacing w:val="24"/>
          <w:sz w:val="17"/>
          <w:szCs w:val="17"/>
        </w:rPr>
        <w:t xml:space="preserve">BETWEEN WEEK 6 AND WEEK 12</w:t>
      </w:r>
    </w:p>
    <w:p>
      <w:pPr>
        <w:pStyle w:val="ListParagraph"/>
        <w:numPr>
          <w:ilvl w:val="0"/>
          <w:numId w:val="1"/>
        </w:numPr>
        <w:spacing w:after="80" w:line="300"/>
      </w:pPr>
      <w:r>
        <w:rPr>
          <w:sz w:val="22"/>
          <w:szCs w:val="22"/>
        </w:rPr>
        <w:t xml:space="preserve">Feed back what Week 6 surfaced: which learners need more evidence, where educators’ judgements were uncertain, which competency needs more attention in the second block.</w:t>
      </w:r>
    </w:p>
    <w:p>
      <w:pPr>
        <w:keepNext/>
        <w:spacing w:after="60" w:before="180"/>
      </w:pPr>
      <w:r>
        <w:rPr>
          <w:b/>
          <w:bCs/>
          <w:color w:val="6E7A2E"/>
          <w:spacing w:val="24"/>
          <w:sz w:val="17"/>
          <w:szCs w:val="17"/>
        </w:rPr>
        <w:t xml:space="preserve">AT WEEK 12</w:t>
      </w:r>
    </w:p>
    <w:p>
      <w:pPr>
        <w:pStyle w:val="ListParagraph"/>
        <w:numPr>
          <w:ilvl w:val="0"/>
          <w:numId w:val="1"/>
        </w:numPr>
        <w:spacing w:after="80" w:line="300"/>
      </w:pPr>
      <w:r>
        <w:rPr>
          <w:sz w:val="22"/>
          <w:szCs w:val="22"/>
        </w:rPr>
        <w:t xml:space="preserve">Educators make their final judgement of each learner in the two competencies against the Proficiency Scale. Collect the judgements and the evidence behind them.</w:t>
      </w:r>
    </w:p>
    <w:p>
      <w:pPr>
        <w:pStyle w:val="ListParagraph"/>
        <w:numPr>
          <w:ilvl w:val="0"/>
          <w:numId w:val="1"/>
        </w:numPr>
        <w:spacing w:after="80" w:line="300"/>
      </w:pPr>
      <w:r>
        <w:rPr>
          <w:sz w:val="22"/>
          <w:szCs w:val="22"/>
        </w:rPr>
        <w:t xml:space="preserve">Hand a sample to Amala for moderation — a case-based review that confirms judgements are consistent and fair before the readiness decision is confirmed.</w:t>
      </w:r>
    </w:p>
    <w:p>
      <w:pPr>
        <w:pStyle w:val="Heading2"/>
        <w:keepNext/>
        <w:spacing w:after="100" w:before="280"/>
      </w:pPr>
      <w:r>
        <w:rPr>
          <w:b/>
          <w:bCs/>
          <w:color w:val="7A3B69"/>
          <w:sz w:val="28"/>
          <w:szCs w:val="28"/>
        </w:rPr>
        <w:t xml:space="preserve">The two assessed competencies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Developed through</w:t>
            </w:r>
          </w:p>
        </w:tc>
      </w:tr>
      <w:tr>
        <w:tc>
          <w:tcPr>
            <w:tcW w:type="dxa" w:w="2687"/>
            <w:tcMar>
              <w:top w:type="dxa" w:w="70"/>
              <w:left w:type="dxa" w:w="130"/>
              <w:bottom w:type="dxa" w:w="70"/>
              <w:right w:type="dxa" w:w="130"/>
            </w:tcMar>
          </w:tcPr>
          <w:p>
            <w:pPr>
              <w:spacing w:line="260"/>
            </w:pPr>
            <w:r>
              <w:rPr>
                <w:b/>
                <w:bCs/>
                <w:color w:val="7A3B69"/>
                <w:sz w:val="19"/>
                <w:szCs w:val="19"/>
              </w:rPr>
              <w:t xml:space="preserve">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The Agency in Learning component. The ability to set clear objectives for learning and growth and take deliberate steps toward them.</w:t>
            </w:r>
          </w:p>
        </w:tc>
      </w:tr>
      <w:tr>
        <w:tc>
          <w:tcPr>
            <w:tcW w:type="dxa" w:w="2687"/>
            <w:tcMar>
              <w:top w:type="dxa" w:w="70"/>
              <w:left w:type="dxa" w:w="130"/>
              <w:bottom w:type="dxa" w:w="70"/>
              <w:right w:type="dxa" w:w="130"/>
            </w:tcMar>
          </w:tcPr>
          <w:p>
            <w:pPr>
              <w:spacing w:line="260"/>
            </w:pPr>
            <w:r>
              <w:rPr>
                <w:b/>
                <w:bCs/>
                <w:color w:val="7A3B69"/>
                <w:sz w:val="19"/>
                <w:szCs w:val="19"/>
              </w:rPr>
              <w:t xml:space="preserve">Investigate Real World Issues</w:t>
            </w:r>
          </w:p>
        </w:tc>
        <w:tc>
          <w:tcPr>
            <w:tcW w:type="dxa" w:w="6382"/>
            <w:tcMar>
              <w:top w:type="dxa" w:w="70"/>
              <w:left w:type="dxa" w:w="130"/>
              <w:bottom w:type="dxa" w:w="70"/>
              <w:right w:type="dxa" w:w="130"/>
            </w:tcMar>
          </w:tcPr>
          <w:p>
            <w:pPr>
              <w:spacing w:line="260"/>
            </w:pPr>
            <w:r>
              <w:rPr>
                <w:b w:val="false"/>
                <w:bCs w:val="false"/>
                <w:sz w:val="19"/>
                <w:szCs w:val="19"/>
              </w:rPr>
              <w:t xml:space="preserve">The Research Project component. The ability to research challenges affecting people and the planet to develop actionable insights.</w:t>
            </w:r>
          </w:p>
        </w:tc>
      </w:tr>
    </w:tbl>
    <w:p>
      <w:pPr>
        <w:spacing w:after="140" w:before="0" w:line="300"/>
      </w:pPr>
      <w:r>
        <w:rPr>
          <w:b/>
          <w:bCs/>
          <w:color w:val="5A6473"/>
          <w:sz w:val="21"/>
          <w:szCs w:val="21"/>
        </w:rPr>
        <w:t xml:space="preserve">Note: the Research Project is contextualised around a single shared local challenge, which is being agreed with NRC and the community. Until it is finalised, early cohorts may reach the final assessment in Set and Pursue Goals first; confirm the assessed scope for your cohort with Amala.</w:t>
      </w:r>
    </w:p>
    <w:p>
      <w:pPr>
        <w:pStyle w:val="Heading2"/>
        <w:keepNext/>
        <w:spacing w:after="100" w:before="280"/>
      </w:pPr>
      <w:r>
        <w:rPr>
          <w:b/>
          <w:bCs/>
          <w:color w:val="7A3B69"/>
          <w:sz w:val="28"/>
          <w:szCs w:val="28"/>
        </w:rPr>
        <w:t xml:space="preserve">The grade scale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Grade</w:t>
            </w:r>
          </w:p>
        </w:tc>
        <w:tc>
          <w:tcPr>
            <w:tcW w:type="dxa" w:w="6382"/>
            <w:tcMar>
              <w:top w:type="dxa" w:w="70"/>
              <w:left w:type="dxa" w:w="130"/>
              <w:bottom w:type="dxa" w:w="70"/>
              <w:right w:type="dxa" w:w="130"/>
            </w:tcMar>
          </w:tcPr>
          <w:p>
            <w:pPr>
              <w:spacing w:line="260"/>
            </w:pPr>
            <w:r>
              <w:rPr>
                <w:b/>
                <w:bCs/>
                <w:color w:val="1F3A5F"/>
                <w:sz w:val="19"/>
                <w:szCs w:val="19"/>
              </w:rPr>
              <w:t xml:space="preserve">Requirement</w:t>
            </w:r>
          </w:p>
        </w:tc>
      </w:tr>
      <w:tr>
        <w:tc>
          <w:tcPr>
            <w:tcW w:type="dxa" w:w="2687"/>
            <w:tcMar>
              <w:top w:type="dxa" w:w="70"/>
              <w:left w:type="dxa" w:w="130"/>
              <w:bottom w:type="dxa" w:w="70"/>
              <w:right w:type="dxa" w:w="130"/>
            </w:tcMar>
          </w:tcPr>
          <w:p>
            <w:pPr>
              <w:spacing w:line="260"/>
            </w:pPr>
            <w:r>
              <w:rPr>
                <w:b/>
                <w:bCs/>
                <w:color w:val="7A3B69"/>
                <w:sz w:val="19"/>
                <w:szCs w:val="19"/>
              </w:rPr>
              <w:t xml:space="preserve">Pass</w:t>
            </w:r>
          </w:p>
        </w:tc>
        <w:tc>
          <w:tcPr>
            <w:tcW w:type="dxa" w:w="6382"/>
            <w:tcMar>
              <w:top w:type="dxa" w:w="70"/>
              <w:left w:type="dxa" w:w="130"/>
              <w:bottom w:type="dxa" w:w="70"/>
              <w:right w:type="dxa" w:w="130"/>
            </w:tcMar>
          </w:tcPr>
          <w:p>
            <w:pPr>
              <w:spacing w:line="260"/>
            </w:pPr>
            <w:r>
              <w:rPr>
                <w:b w:val="false"/>
                <w:bCs w:val="false"/>
                <w:sz w:val="19"/>
                <w:szCs w:val="19"/>
              </w:rPr>
              <w:t xml:space="preserve">Practitioner in both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Merit</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one competency, Practitioner in the other.</w:t>
            </w:r>
          </w:p>
        </w:tc>
      </w:tr>
      <w:tr>
        <w:tc>
          <w:tcPr>
            <w:tcW w:type="dxa" w:w="2687"/>
            <w:tcMar>
              <w:top w:type="dxa" w:w="70"/>
              <w:left w:type="dxa" w:w="130"/>
              <w:bottom w:type="dxa" w:w="70"/>
              <w:right w:type="dxa" w:w="130"/>
            </w:tcMar>
          </w:tcPr>
          <w:p>
            <w:pPr>
              <w:spacing w:line="260"/>
            </w:pPr>
            <w:r>
              <w:rPr>
                <w:b/>
                <w:bCs/>
                <w:color w:val="7A3B69"/>
                <w:sz w:val="19"/>
                <w:szCs w:val="19"/>
              </w:rPr>
              <w:t xml:space="preserve">Distinction</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both competencies.</w:t>
            </w:r>
          </w:p>
        </w:tc>
      </w:tr>
    </w:tbl>
    <w:p>
      <w:r>
        <w:br w:type="page"/>
      </w:r>
    </w:p>
    <w:p>
      <w:pPr>
        <w:pStyle w:val="Heading1"/>
        <w:keepNext/>
        <w:spacing w:after="140" w:before="320"/>
      </w:pPr>
      <w:r>
        <w:rPr>
          <w:b/>
          <w:bCs/>
          <w:color w:val="1F3A5F"/>
          <w:sz w:val="36"/>
          <w:szCs w:val="36"/>
        </w:rPr>
        <w:t xml:space="preserve">6. Safeguarding and protection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THIS IS NOT OPTIONAL, AND IT IS NOT YOURS TO IMPROVISE</w:t>
            </w:r>
          </w:p>
          <w:p>
            <w:pPr>
              <w:spacing w:after="90" w:before="0" w:line="300"/>
            </w:pPr>
            <w:r>
              <w:rPr>
                <w:sz w:val="21"/>
                <w:szCs w:val="21"/>
              </w:rPr>
              <w:t xml:space="preserve">All delivery follows NRC’s Code of Conduct and protection principles. Safeguarding is built into every activity that could surface loss, family, marriage, or displacement: no learner ever has to share.</w:t>
            </w:r>
          </w:p>
          <w:p>
            <w:pPr>
              <w:spacing w:after="90" w:before="0" w:line="300"/>
            </w:pPr>
            <w:r>
              <w:rPr>
                <w:sz w:val="21"/>
                <w:szCs w:val="21"/>
              </w:rPr>
              <w:t xml:space="preserve">Disclosures here may involve protection risks common in displacement — child marriage, family separation, gender-based violence. Educators are told to notice, steady, and refer — never to counsel, and never to promise secrecy.</w:t>
            </w:r>
          </w:p>
          <w:p>
            <w:pPr>
              <w:spacing w:after="0" w:before="0" w:line="300"/>
            </w:pPr>
            <w:r>
              <w:rPr>
                <w:sz w:val="21"/>
                <w:szCs w:val="21"/>
              </w:rPr>
              <w:t xml:space="preserve">Your job as coordinator: make sure the referral pathway is known and live at every site before delivery starts, and that every educator has been briefed on it.</w:t>
            </w:r>
          </w:p>
        </w:tc>
      </w:tr>
    </w:tbl>
    <w:p>
      <w:pPr>
        <w:pStyle w:val="Heading1"/>
        <w:keepNext/>
        <w:spacing w:after="140" w:before="320"/>
      </w:pPr>
      <w:r>
        <w:rPr>
          <w:b/>
          <w:bCs/>
          <w:color w:val="1F3A5F"/>
          <w:sz w:val="36"/>
          <w:szCs w:val="36"/>
        </w:rPr>
        <w:t xml:space="preserve">7. Coordinator checklist</w:t>
      </w:r>
    </w:p>
    <w:p>
      <w:pPr>
        <w:keepNext/>
        <w:spacing w:after="60" w:before="180"/>
      </w:pPr>
      <w:r>
        <w:rPr>
          <w:b/>
          <w:bCs/>
          <w:color w:val="6E7A2E"/>
          <w:spacing w:val="24"/>
          <w:sz w:val="17"/>
          <w:szCs w:val="17"/>
        </w:rPr>
        <w:t xml:space="preserve">ONCE PER COHORT, BEFORE WEEK 1</w:t>
      </w:r>
    </w:p>
    <w:p>
      <w:pPr>
        <w:pStyle w:val="ListParagraph"/>
        <w:numPr>
          <w:ilvl w:val="0"/>
          <w:numId w:val="1"/>
        </w:numPr>
        <w:spacing w:after="80" w:line="300"/>
      </w:pPr>
      <w:r>
        <w:rPr>
          <w:sz w:val="22"/>
          <w:szCs w:val="22"/>
        </w:rPr>
        <w:t xml:space="preserve">Sites confirmed; offline packs distributed and checked at each site.</w:t>
      </w:r>
    </w:p>
    <w:p>
      <w:pPr>
        <w:pStyle w:val="ListParagraph"/>
        <w:numPr>
          <w:ilvl w:val="0"/>
          <w:numId w:val="1"/>
        </w:numPr>
        <w:spacing w:after="80" w:line="300"/>
      </w:pPr>
      <w:r>
        <w:rPr>
          <w:sz w:val="22"/>
          <w:szCs w:val="22"/>
        </w:rPr>
        <w:t xml:space="preserve">Facilitators confirmed, with female facilitators and same-gender grouping where needed, and language matched.</w:t>
      </w:r>
    </w:p>
    <w:p>
      <w:pPr>
        <w:pStyle w:val="ListParagraph"/>
        <w:numPr>
          <w:ilvl w:val="0"/>
          <w:numId w:val="1"/>
        </w:numPr>
        <w:spacing w:after="80" w:line="300"/>
      </w:pPr>
      <w:r>
        <w:rPr>
          <w:sz w:val="22"/>
          <w:szCs w:val="22"/>
        </w:rPr>
        <w:t xml:space="preserve">Safeguarding and referral pathway concrete and briefed at every site.</w:t>
      </w:r>
    </w:p>
    <w:p>
      <w:pPr>
        <w:pStyle w:val="ListParagraph"/>
        <w:numPr>
          <w:ilvl w:val="0"/>
          <w:numId w:val="1"/>
        </w:numPr>
        <w:spacing w:after="80" w:line="300"/>
      </w:pPr>
      <w:r>
        <w:rPr>
          <w:sz w:val="22"/>
          <w:szCs w:val="22"/>
        </w:rPr>
        <w:t xml:space="preserve">Diagnostic intake complete; learners placed and paired with mentors.</w:t>
      </w:r>
    </w:p>
    <w:p>
      <w:pPr>
        <w:pStyle w:val="ListParagraph"/>
        <w:numPr>
          <w:ilvl w:val="0"/>
          <w:numId w:val="1"/>
        </w:numPr>
        <w:spacing w:after="80" w:line="300"/>
      </w:pPr>
      <w:r>
        <w:rPr>
          <w:sz w:val="22"/>
          <w:szCs w:val="22"/>
        </w:rPr>
        <w:t xml:space="preserve">Week-6 and Week-12 assessment windows on the calendar; Week-6 support booked with Amala.</w:t>
      </w:r>
    </w:p>
    <w:p>
      <w:pPr>
        <w:keepNext/>
        <w:spacing w:after="60" w:before="180"/>
      </w:pPr>
      <w:r>
        <w:rPr>
          <w:b/>
          <w:bCs/>
          <w:color w:val="6E7A2E"/>
          <w:spacing w:val="24"/>
          <w:sz w:val="17"/>
          <w:szCs w:val="17"/>
        </w:rPr>
        <w:t xml:space="preserve">THROUGH THE COHORT</w:t>
      </w:r>
    </w:p>
    <w:p>
      <w:pPr>
        <w:pStyle w:val="ListParagraph"/>
        <w:numPr>
          <w:ilvl w:val="0"/>
          <w:numId w:val="1"/>
        </w:numPr>
        <w:spacing w:after="80" w:line="300"/>
      </w:pPr>
      <w:r>
        <w:rPr>
          <w:sz w:val="22"/>
          <w:szCs w:val="22"/>
        </w:rPr>
        <w:t xml:space="preserve">Evidence being gathered continuously, not left to the end.</w:t>
      </w:r>
    </w:p>
    <w:p>
      <w:pPr>
        <w:pStyle w:val="ListParagraph"/>
        <w:numPr>
          <w:ilvl w:val="0"/>
          <w:numId w:val="1"/>
        </w:numPr>
        <w:spacing w:after="80" w:line="300"/>
      </w:pPr>
      <w:r>
        <w:rPr>
          <w:sz w:val="22"/>
          <w:szCs w:val="22"/>
        </w:rPr>
        <w:t xml:space="preserve">Attendance is stop-start by nature — pick learners up where they are; a return after absence is progress, not a fresh start.</w:t>
      </w:r>
    </w:p>
    <w:p>
      <w:pPr>
        <w:pStyle w:val="ListParagraph"/>
        <w:numPr>
          <w:ilvl w:val="0"/>
          <w:numId w:val="1"/>
        </w:numPr>
        <w:spacing w:after="80" w:line="300"/>
      </w:pPr>
      <w:r>
        <w:rPr>
          <w:sz w:val="22"/>
          <w:szCs w:val="22"/>
        </w:rPr>
        <w:t xml:space="preserve">Week-6 supported assessment run with Amala; findings fed back to educators.</w:t>
      </w:r>
    </w:p>
    <w:p>
      <w:pPr>
        <w:pStyle w:val="ListParagraph"/>
        <w:numPr>
          <w:ilvl w:val="0"/>
          <w:numId w:val="1"/>
        </w:numPr>
        <w:spacing w:after="80" w:line="300"/>
      </w:pPr>
      <w:r>
        <w:rPr>
          <w:sz w:val="22"/>
          <w:szCs w:val="22"/>
        </w:rPr>
        <w:t xml:space="preserve">Week-12 final assessment collected; sample handed to Amala for moderation.</w:t>
      </w:r>
    </w:p>
    <w:p>
      <w:pPr>
        <w:pStyle w:val="ListParagraph"/>
        <w:numPr>
          <w:ilvl w:val="0"/>
          <w:numId w:val="1"/>
        </w:numPr>
        <w:spacing w:after="80" w:line="300"/>
      </w:pPr>
      <w:r>
        <w:rPr>
          <w:sz w:val="22"/>
          <w:szCs w:val="22"/>
        </w:rPr>
        <w:t xml:space="preserve">Track the cohort against the 70% readiness measure.</w:t>
      </w:r>
    </w:p>
    <w:p>
      <w:pPr>
        <w:spacing w:after="140" w:before="240" w:line="300"/>
      </w:pPr>
      <w:r>
        <w:rPr>
          <w:color w:val="5A6473"/>
          <w:sz w:val="18"/>
          <w:szCs w:val="18"/>
        </w:rPr>
        <w:t xml:space="preserve">This guide is part of a fully offline, editable pack for Learning Bridge+ (Cox’s Bazar).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Coordinator Guide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2026-08-21T09:03:58.117Z</dcterms:created>
  <dcterms:modified xsi:type="dcterms:W3CDTF">2026-08-21T09:03:58.117Z</dcterms:modified>
</cp:coreProperties>
</file>

<file path=docProps/custom.xml><?xml version="1.0" encoding="utf-8"?>
<Properties xmlns="http://schemas.openxmlformats.org/officeDocument/2006/custom-properties" xmlns:vt="http://schemas.openxmlformats.org/officeDocument/2006/docPropsVTypes"/>
</file>