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how the 1:1 conversations run, and the safeguarding you must know before you take a caseload.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and the optional slides, which stay on the USB. Where there is no printer: show one copy on a screen, or hold up a printed sheet, and learners use their own notebooks — every activity is written to work that way.</w:t>
      </w:r>
    </w:p>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Session slides (Agency in Learning, My Voice)</w:t>
            </w:r>
          </w:p>
        </w:tc>
        <w:tc>
          <w:tcPr>
            <w:tcW w:type="dxa" w:w="1511"/>
            <w:tcMar>
              <w:top w:type="dxa" w:w="70"/>
              <w:left w:type="dxa" w:w="130"/>
              <w:bottom w:type="dxa" w:w="70"/>
              <w:right w:type="dxa" w:w="130"/>
            </w:tcMar>
          </w:tcPr>
          <w:p>
            <w:pPr>
              <w:spacing w:line="260"/>
            </w:pPr>
            <w:r>
              <w:rPr>
                <w:b w:val="false"/>
                <w:bCs w:val="false"/>
                <w:sz w:val="19"/>
                <w:szCs w:val="19"/>
              </w:rPr>
              <w:t xml:space="preserve">Optional</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Only for the minority of sites with a screen. On the USB only.</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Assessment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one per learner per component (Part 7), or a plan for how you will work without a printer.</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w:t>
      </w:r>
    </w:p>
    <w:p>
      <w:r>
        <w:br w:type="page"/>
      </w:r>
    </w:p>
    <w:p>
      <w:pPr>
        <w:pStyle w:val="Heading2"/>
        <w:keepNext/>
        <w:spacing w:after="100" w:before="280"/>
      </w:pPr>
      <w:r>
        <w:rPr>
          <w:b/>
          <w:bCs/>
          <w:color w:val="7A3B69"/>
          <w:sz w:val="28"/>
          <w:szCs w:val="28"/>
        </w:rPr>
        <w:t xml:space="preserve">2.1  What mentoring is here</w:t>
      </w:r>
    </w:p>
    <w:p>
      <w:pPr>
        <w:spacing w:after="140" w:before="0" w:line="300"/>
      </w:pPr>
      <w:r>
        <w:rPr>
          <w:sz w:val="22"/>
          <w:szCs w:val="22"/>
        </w:rPr>
        <w:t xml:space="preserve">1:1 mentoring is the spine of wellbeing support: it is where a learner is known as a person, where distress is noticed early, and where the learning goals set in Agency in Learning are kept alive. You are not a counsellor — you build the relationship, notice concerns, and refer along NRC’s pathways.</w:t>
      </w:r>
    </w:p>
    <w:p>
      <w:pPr>
        <w:keepNext/>
        <w:spacing w:after="60" w:before="180"/>
      </w:pPr>
      <w:r>
        <w:rPr>
          <w:b/>
          <w:bCs/>
          <w:color w:val="6E7A2E"/>
          <w:spacing w:val="24"/>
          <w:sz w:val="17"/>
          <w:szCs w:val="17"/>
        </w:rPr>
        <w:t xml:space="preserve">HOW IT RUNS</w:t>
      </w:r>
    </w:p>
    <w:p>
      <w:pPr>
        <w:pStyle w:val="ListParagraph"/>
        <w:numPr>
          <w:ilvl w:val="0"/>
          <w:numId w:val="1"/>
        </w:numPr>
        <w:spacing w:after="80" w:line="300"/>
      </w:pPr>
      <w:r>
        <w:rPr>
          <w:sz w:val="22"/>
          <w:szCs w:val="22"/>
        </w:rPr>
        <w:t xml:space="preserve">Fold mentoring into the weekly in-person time as short 1:1 or very small-group conversations. No devices, no internet.</w:t>
      </w:r>
    </w:p>
    <w:p>
      <w:pPr>
        <w:pStyle w:val="ListParagraph"/>
        <w:numPr>
          <w:ilvl w:val="0"/>
          <w:numId w:val="1"/>
        </w:numPr>
        <w:spacing w:after="80" w:line="300"/>
      </w:pPr>
      <w:r>
        <w:rPr>
          <w:sz w:val="22"/>
          <w:szCs w:val="22"/>
        </w:rPr>
        <w:t xml:space="preserve">Start every meeting with a genuine check-in, spoken in the learner’s own language rather than as a written survey. Watch for withdrawal, or a change in how "fine" sounds over the weeks.</w:t>
      </w:r>
    </w:p>
    <w:p>
      <w:pPr>
        <w:pStyle w:val="ListParagraph"/>
        <w:numPr>
          <w:ilvl w:val="0"/>
          <w:numId w:val="1"/>
        </w:numPr>
        <w:spacing w:after="80" w:line="300"/>
      </w:pPr>
      <w:r>
        <w:rPr>
          <w:sz w:val="22"/>
          <w:szCs w:val="22"/>
        </w:rPr>
        <w:t xml:space="preserve">Keep a light paper record of what you notice, so each conversation builds on the last and survives stop-start attendance.</w:t>
      </w:r>
    </w:p>
    <w:p>
      <w:pPr>
        <w:pStyle w:val="ListParagraph"/>
        <w:numPr>
          <w:ilvl w:val="0"/>
          <w:numId w:val="1"/>
        </w:numPr>
        <w:spacing w:after="80" w:line="300"/>
      </w:pPr>
      <w:r>
        <w:rPr>
          <w:sz w:val="22"/>
          <w:szCs w:val="22"/>
        </w:rPr>
        <w:t xml:space="preserve">Surface the skills learners already use in camp life — caring for siblings, translating, running a stall, resolving disputes. Capture that growth orally and visually; it becomes evidence for the Set and Pursue Goals assessment.</w:t>
      </w:r>
    </w:p>
    <w:p>
      <w:pPr>
        <w:spacing w:after="140" w:before="0" w:line="300"/>
      </w:pPr>
      <w:r>
        <w:rPr>
          <w:b/>
          <w:bCs/>
          <w:color w:val="5A6473"/>
          <w:sz w:val="21"/>
          <w:szCs w:val="21"/>
        </w:rPr>
        <w:t xml:space="preserve">The shared practice is the mentor moves on the Educators pages. Use them; this guide says how they are held in the Cox’s Bazar context.</w:t>
      </w:r>
    </w:p>
    <w:p>
      <w:pPr>
        <w:pStyle w:val="Heading2"/>
        <w:keepNext/>
        <w:spacing w:after="100" w:before="280"/>
      </w:pPr>
      <w:r>
        <w:rPr>
          <w:b/>
          <w:bCs/>
          <w:color w:val="7A3B69"/>
          <w:sz w:val="28"/>
          <w:szCs w:val="28"/>
        </w:rPr>
        <w:t xml:space="preserve">2.2  Safeguarding</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CASELOAD</w:t>
            </w:r>
          </w:p>
          <w:p>
            <w:pPr>
              <w:spacing w:after="90" w:before="0" w:line="300"/>
            </w:pPr>
            <w:r>
              <w:rPr>
                <w:sz w:val="21"/>
                <w:szCs w:val="21"/>
              </w:rPr>
              <w:t xml:space="preserve">Know NRC’s safeguarding policy and the camp referral pathway before you mentor anyone.</w:t>
            </w:r>
          </w:p>
          <w:p>
            <w:pPr>
              <w:spacing w:after="90" w:before="0" w:line="300"/>
            </w:pPr>
            <w:r>
              <w:rPr>
                <w:sz w:val="21"/>
                <w:szCs w:val="21"/>
              </w:rPr>
              <w:t xml:space="preserve">No learner ever has to share. For sensitive ground — loss, family, marriage, displacement — step back; the materials give you clear step-back prompts.</w:t>
            </w:r>
          </w:p>
          <w:p>
            <w:pPr>
              <w:spacing w:after="0" w:before="0" w:line="300"/>
            </w:pPr>
            <w:r>
              <w:rPr>
                <w:sz w:val="21"/>
                <w:szCs w:val="21"/>
              </w:rPr>
              <w:t xml:space="preserve">Disclosures may involve protection risks common in displacement — child marriage, family separation, gender-based violence. Respond calmly, never promise secrecy, and refer. Your job is to notice, steady, and refer — not to counsel.</w:t>
            </w:r>
          </w:p>
        </w:tc>
      </w:tr>
    </w:tbl>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spacing w:after="140" w:before="0" w:line="300"/>
      </w:pPr>
      <w:r>
        <w:rPr>
          <w:b/>
          <w:bCs/>
          <w:color w:val="5A6473"/>
          <w:sz w:val="21"/>
          <w:szCs w:val="21"/>
        </w:rPr>
        <w:t xml:space="preserve">Note: the Research Project’s shared challenge is being finalised with NRC and the community. Confirm with your coordinator which competencies your cohort is assessed in and when.</w:t>
      </w:r>
    </w:p>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No printer? Show one copy on a screen, or hold up a printed sheet, and learners use their own notebooks.</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3h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3h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 a small group or the class, with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ACTIVITY IN THE MATERIAL BANK: SET UP YOUR RESEARCH BOOK</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ACTIVITY IN THE MATERIAL BANK: MEET OUR CHALLENGE</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ACTIVITY IN THE MATERIAL BANK: WHAT GOOD RESEARCH LOOKS LIKE</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ACTIVITY IN THE MATERIAL BANK: WHAT WE ALREADY KNOW</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ACTIVITY IN THE MATERIAL BANK: WHO AND WHAT IS CONNECTED TO OUR CHALLENGE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ACTIVITY IN THE MATERIAL BANK: MAKE OUR RESEARCH QUESTION OUR OWN</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ACTIVITY IN THE MATERIAL BANK: TWO WAYS TO FIND OUT, AND BEING A FAIR AND SAFE RESEARCHER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ACTIVITY IN THE MATERIAL BANK: DESIGN OUR INTERVIEW AND SURVEY QUESTIONS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ACTIVITY IN THE MATERIAL BANK: PRACTISE BEING AN INTERVIEWER, AND GET READY TO GO</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ACTIVITY IN THE MATERIAL BANK: WORKING WITH OUR SOURCES</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ACTIVITY IN THE MATERIAL BANK: GO AND GATHER</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ACTIVITY IN THE MATERIAL BANK: CAN WE TRUST IT? WEIGHING OUR SOURCES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ACTIVITY IN THE MATERIAL BANK: SORT AND THEME WHAT WE FOUND</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ACTIVITY IN THE MATERIAL BANK: DIG FOR THE ROOT CAUSE</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ACTIVITY IN THE MATERIAL BANK: WHO, WHAT, AND WHY — LOOKING DEEPER</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ACTIVITY IN THE MATERIAL BANK: FROM FINDINGS TO INSIGHTS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ACTIVITY IN THE MATERIAL BANK: CHOOSE OUR FORMAT AND OUR AUDIENCE</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ACTIVITY IN THE MATERIAL BANK: BUILD OUR RESEARCH OUTPUT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ACTIVITY IN THE MATERIAL BANK: SHARE OUR FINDINGS, AND LOOK BACK</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80" w:line="300"/>
      </w:pPr>
      <w:r>
        <w:rPr>
          <w:sz w:val="22"/>
          <w:szCs w:val="22"/>
        </w:rPr>
        <w:t xml:space="preserve">H. UNHCR. "Rohingya refugees restore depleted forest in Bangladesh." Around 2021 (CONFIRM date).</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Still to add</w:t>
      </w:r>
    </w:p>
    <w:p>
      <w:pPr>
        <w:spacing w:after="140" w:before="0" w:line="30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(CONFIRM date).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Assessment records</w:t>
      </w:r>
    </w:p>
    <w:p>
      <w:pPr>
        <w:spacing w:after="140" w:before="0" w:line="300"/>
      </w:pPr>
      <w:r>
        <w:rPr>
          <w:color w:val="5A6473"/>
          <w:sz w:val="23"/>
          <w:szCs w:val="23"/>
        </w:rPr>
        <w:t xml:space="preserve">Two records, one per assessed competency. Make one copy of each per learner, put their name on it, and fill it at Week 6 and again at Week 12.</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2026-08-21T09:03:58.159Z</dcterms:created>
  <dcterms:modified xsi:type="dcterms:W3CDTF">2026-08-21T09:03:58.159Z</dcterms:modified>
</cp:coreProperties>
</file>

<file path=docProps/custom.xml><?xml version="1.0" encoding="utf-8"?>
<Properties xmlns="http://schemas.openxmlformats.org/officeDocument/2006/custom-properties" xmlns:vt="http://schemas.openxmlformats.org/officeDocument/2006/docPropsVTypes"/>
</file>