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Roboto" w:cs="Roboto" w:eastAsia="Roboto" w:hAnsi="Roboto"/>
          <w:b/>
          <w:bCs/>
          <w:color w:val="004976"/>
          <w:sz w:val="40"/>
          <w:szCs w:val="40"/>
        </w:rPr>
        <w:t xml:space="preserve">Conducting Assessments of Competence</w:t>
      </w:r>
    </w:p>
    <w:p>
      <w:pPr>
        <w:spacing w:after="40"/>
      </w:pPr>
      <w:r>
        <w:rPr>
          <w:rFonts w:ascii="Roboto" w:cs="Roboto" w:eastAsia="Roboto" w:hAnsi="Roboto"/>
          <w:b/>
          <w:bCs/>
          <w:color w:val="8F993E"/>
          <w:sz w:val="26"/>
          <w:szCs w:val="26"/>
        </w:rPr>
        <w:t xml:space="preserve">Case bank  ·  Calibration probe</w:t>
      </w:r>
    </w:p>
    <w:p>
      <w:pPr>
        <w:spacing w:after="200"/>
      </w:pPr>
      <w:r>
        <w:rPr>
          <w:rFonts w:ascii="Lato" w:cs="Lato" w:eastAsia="Lato" w:hAnsi="Lato"/>
          <w:i/>
          <w:iCs/>
          <w:color w:val="97999B"/>
          <w:sz w:val="21"/>
          <w:szCs w:val="21"/>
        </w:rPr>
        <w:t xml:space="preserve">One competency’s full proficiency ladder, drafted for calibration review</w:t>
      </w: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40"/>
              <w:left w:type="dxa" w:w="200"/>
              <w:bottom w:type="dxa" w:w="140"/>
              <w:right w:type="dxa" w:w="200"/>
            </w:tcMar>
          </w:tcPr>
          <w:p>
            <w:pPr>
              <w:spacing w:after="100"/>
            </w:pPr>
            <w:r>
              <w:rPr>
                <w:rFonts w:ascii="Roboto" w:cs="Roboto" w:eastAsia="Roboto" w:hAnsi="Roboto"/>
                <w:b/>
                <w:bCs/>
                <w:color w:val="004976"/>
                <w:sz w:val="22"/>
                <w:szCs w:val="22"/>
              </w:rPr>
              <w:t xml:space="preserve">What this is</w:t>
            </w:r>
          </w:p>
          <w:p>
            <w:pPr>
              <w:spacing w:after="100" w:line="276"/>
            </w:pPr>
            <w:r>
              <w:rPr>
                <w:rFonts w:ascii="Lato" w:cs="Lato" w:eastAsia="Lato" w:hAnsi="Lato"/>
                <w:b w:val="false"/>
                <w:bCs w:val="false"/>
                <w:i w:val="false"/>
                <w:iCs w:val="false"/>
                <w:color w:val="041E42"/>
                <w:sz w:val="21"/>
                <w:szCs w:val="21"/>
              </w:rPr>
              <w:t xml:space="preserve">This is a draft calibration probe: five learner case studies for a single competency, Fostering connection and belonging (FLC2), one at each level of the proficiency scale. Each case presents evidence about the learner from more than one source, followed by a trainer-only moderated decision and the reasoning behind it.</w:t>
            </w:r>
          </w:p>
          <w:p>
            <w:pPr>
              <w:spacing w:after="100" w:line="276"/>
            </w:pPr>
            <w:r>
              <w:rPr>
                <w:rFonts w:ascii="Lato" w:cs="Lato" w:eastAsia="Lato" w:hAnsi="Lato"/>
                <w:b w:val="false"/>
                <w:bCs w:val="false"/>
                <w:i w:val="false"/>
                <w:iCs w:val="false"/>
                <w:color w:val="041E42"/>
                <w:sz w:val="21"/>
                <w:szCs w:val="21"/>
              </w:rPr>
              <w:t xml:space="preserve">Its purpose is ratification, not delivery. Read each case, form your own judgement from the evidence, then check it against the moderated decision. The probe passes if each case sits cleanly at its stated level and adjacent levels are genuinely distinguishable, in particular the credit line (Theorist to Practitioner) and the top boundary (Reflective to Expert).</w:t>
            </w:r>
          </w:p>
          <w:p>
            <w:pPr>
              <w:spacing w:after="100" w:line="276"/>
            </w:pPr>
            <w:r>
              <w:rPr>
                <w:rFonts w:ascii="Lato" w:cs="Lato" w:eastAsia="Lato" w:hAnsi="Lato"/>
                <w:b w:val="false"/>
                <w:bCs w:val="false"/>
                <w:i w:val="false"/>
                <w:iCs w:val="false"/>
                <w:color w:val="041E42"/>
                <w:sz w:val="21"/>
                <w:szCs w:val="21"/>
              </w:rPr>
              <w:t xml:space="preserve">This is the third and final competency built to the pattern established with Set and pursue goals (FSL2) and Investigate real-world issues (FSI1). With it the bank reaches fifteen cases (three competencies by five levels).</w:t>
            </w:r>
          </w:p>
          <w:p>
            <w:pPr>
              <w:spacing w:after="0" w:line="276"/>
            </w:pPr>
            <w:r>
              <w:rPr>
                <w:rFonts w:ascii="Lato" w:cs="Lato" w:eastAsia="Lato" w:hAnsi="Lato"/>
                <w:b/>
                <w:bCs/>
                <w:i w:val="false"/>
                <w:iCs w:val="false"/>
                <w:color w:val="041E42"/>
                <w:sz w:val="21"/>
                <w:szCs w:val="21"/>
              </w:rPr>
              <w:t xml:space="preserve">The moderated decisions here are drafted, not yet moderated by a person. They require a human moderation pass before the bank is used for live sign-off. [to verify]</w:t>
            </w:r>
          </w:p>
        </w:tc>
      </w:tr>
    </w:tbl>
    <w:p>
      <w:pPr>
        <w:spacing w:after="120"/>
      </w:pPr>
    </w:p>
    <w:p>
      <w:pPr>
        <w:pBdr>
          <w:bottom w:val="single" w:color="8F993E" w:sz="6" w:space="4"/>
        </w:pBdr>
        <w:spacing w:after="100" w:before="260"/>
      </w:pPr>
      <w:r>
        <w:rPr>
          <w:rFonts w:ascii="Roboto" w:cs="Roboto" w:eastAsia="Roboto" w:hAnsi="Roboto"/>
          <w:b/>
          <w:bCs/>
          <w:color w:val="004976"/>
          <w:sz w:val="30"/>
          <w:szCs w:val="30"/>
        </w:rPr>
        <w:t xml:space="preserve">The competency under assessment</w:t>
      </w:r>
    </w:p>
    <w:p>
      <w:pPr>
        <w:spacing w:after="60"/>
      </w:pPr>
      <w:r>
        <w:rPr>
          <w:rFonts w:ascii="Roboto" w:cs="Roboto" w:eastAsia="Roboto" w:hAnsi="Roboto"/>
          <w:b/>
          <w:bCs/>
          <w:color w:val="004976"/>
          <w:sz w:val="23"/>
          <w:szCs w:val="23"/>
        </w:rPr>
        <w:t xml:space="preserve">Fostering connection and belonging </w:t>
      </w:r>
      <w:r>
        <w:rPr>
          <w:rFonts w:ascii="Lato" w:cs="Lato" w:eastAsia="Lato" w:hAnsi="Lato"/>
          <w:color w:val="97999B"/>
          <w:sz w:val="21"/>
          <w:szCs w:val="21"/>
        </w:rPr>
        <w:t xml:space="preserve">(FLC2, Foundational, Leading Change)</w:t>
      </w:r>
    </w:p>
    <w:p>
      <w:pPr>
        <w:spacing w:after="120" w:line="276"/>
      </w:pPr>
      <w:r>
        <w:rPr>
          <w:rFonts w:ascii="Lato" w:cs="Lato" w:eastAsia="Lato" w:hAnsi="Lato"/>
          <w:b w:val="false"/>
          <w:bCs w:val="false"/>
          <w:i w:val="false"/>
          <w:iCs w:val="false"/>
          <w:color w:val="041E42"/>
          <w:sz w:val="21"/>
          <w:szCs w:val="21"/>
        </w:rPr>
        <w:t xml:space="preserve">The goal named by the competency: the learner can cultivate the conditions that enable people to feel part of a community working towards a shared goal for positive change. Every judgement below is made against this goal, using the generic proficiency scale. Note what achievement requires here: people actually come to feel part of the group, not simply that the learner tried to be welcoming; the belonging has to show.</w:t>
      </w:r>
    </w:p>
    <w:p>
      <w:pPr>
        <w:pBdr>
          <w:bottom w:val="single" w:color="8F993E" w:sz="6" w:space="4"/>
        </w:pBdr>
        <w:spacing w:after="100" w:before="260"/>
      </w:pPr>
      <w:r>
        <w:rPr>
          <w:rFonts w:ascii="Roboto" w:cs="Roboto" w:eastAsia="Roboto" w:hAnsi="Roboto"/>
          <w:b/>
          <w:bCs/>
          <w:color w:val="004976"/>
          <w:sz w:val="30"/>
          <w:szCs w:val="30"/>
        </w:rPr>
        <w:t xml:space="preserve">The proficiency scale</w:t>
      </w:r>
    </w:p>
    <w:p>
      <w:pPr>
        <w:spacing w:after="140" w:line="276"/>
      </w:pPr>
      <w:r>
        <w:rPr>
          <w:rFonts w:ascii="Lato" w:cs="Lato" w:eastAsia="Lato" w:hAnsi="Lato"/>
          <w:b w:val="false"/>
          <w:bCs w:val="false"/>
          <w:i w:val="false"/>
          <w:iCs w:val="false"/>
          <w:color w:val="041E42"/>
          <w:sz w:val="21"/>
          <w:szCs w:val="21"/>
        </w:rPr>
        <w:t xml:space="preserve">The scale is generic: one ladder, applied to any competency by reading its descriptors against the goal that competency names. Credit begins at Practitioner.</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200"/>
        <w:gridCol w:w="1000"/>
        <w:gridCol w:w="6306"/>
      </w:tblGrid>
      <w:tr>
        <w:tc>
          <w:tcPr>
            <w:tcW w:type="dxa" w:w="2200"/>
            <w:shd w:fill="004976" w:val="clear"/>
            <w:tcMar>
              <w:top w:type="dxa" w:w="80"/>
              <w:left w:type="dxa" w:w="120"/>
              <w:bottom w:type="dxa" w:w="80"/>
              <w:right w:type="dxa" w:w="120"/>
            </w:tcMar>
          </w:tcPr>
          <w:p>
            <w:r>
              <w:rPr>
                <w:rFonts w:ascii="Roboto" w:cs="Roboto" w:eastAsia="Roboto" w:hAnsi="Roboto"/>
                <w:b/>
                <w:bCs/>
                <w:color w:val="FFFFFF"/>
                <w:sz w:val="20"/>
                <w:szCs w:val="20"/>
              </w:rPr>
              <w:t xml:space="preserve">Level</w:t>
            </w:r>
          </w:p>
        </w:tc>
        <w:tc>
          <w:tcPr>
            <w:tcW w:type="dxa" w:w="1000"/>
            <w:shd w:fill="004976" w:val="clear"/>
            <w:tcMar>
              <w:top w:type="dxa" w:w="80"/>
              <w:left w:type="dxa" w:w="120"/>
              <w:bottom w:type="dxa" w:w="80"/>
              <w:right w:type="dxa" w:w="120"/>
            </w:tcMar>
          </w:tcPr>
          <w:p>
            <w:pPr>
              <w:jc w:val="center"/>
            </w:pPr>
            <w:r>
              <w:rPr>
                <w:rFonts w:ascii="Roboto" w:cs="Roboto" w:eastAsia="Roboto" w:hAnsi="Roboto"/>
                <w:b/>
                <w:bCs/>
                <w:color w:val="FFFFFF"/>
                <w:sz w:val="20"/>
                <w:szCs w:val="20"/>
              </w:rPr>
              <w:t xml:space="preserve">GPA</w:t>
            </w:r>
          </w:p>
        </w:tc>
        <w:tc>
          <w:tcPr>
            <w:tcW w:type="dxa" w:w="6306"/>
            <w:shd w:fill="004976" w:val="clear"/>
            <w:tcMar>
              <w:top w:type="dxa" w:w="80"/>
              <w:left w:type="dxa" w:w="120"/>
              <w:bottom w:type="dxa" w:w="80"/>
              <w:right w:type="dxa" w:w="120"/>
            </w:tcMar>
          </w:tcPr>
          <w:p>
            <w:pPr>
              <w:spacing w:after="0" w:line="264"/>
            </w:pPr>
            <w:r>
              <w:rPr>
                <w:rFonts w:ascii="Roboto" w:cs="Roboto" w:eastAsia="Roboto" w:hAnsi="Roboto"/>
                <w:b/>
                <w:bCs/>
                <w:color w:val="FFFFFF"/>
                <w:sz w:val="20"/>
                <w:szCs w:val="20"/>
              </w:rPr>
              <w:t xml:space="preserve">What the evidence must show (the generic descriptor, applied to the goal named by the competency)</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No level awarded</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0</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Does not have a rationale for what they would do to achieve the goal in at least one scenario.</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Theorist</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2</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 rationale for what they would do to achieve the goal in at least one scenario.</w:t>
            </w:r>
          </w:p>
        </w:tc>
      </w:tr>
      <w:tr>
        <w:tc>
          <w:tcPr>
            <w:tcW w:type="dxa" w:w="2200"/>
            <w:shd w:fill="EDF0DE" w:val="clear"/>
            <w:tcMar>
              <w:top w:type="dxa" w:w="80"/>
              <w:left w:type="dxa" w:w="120"/>
              <w:bottom w:type="dxa" w:w="80"/>
              <w:right w:type="dxa" w:w="120"/>
            </w:tcMar>
          </w:tcPr>
          <w:p>
            <w:r>
              <w:rPr>
                <w:rFonts w:ascii="Roboto" w:cs="Roboto" w:eastAsia="Roboto" w:hAnsi="Roboto"/>
                <w:b/>
                <w:bCs/>
                <w:color w:val="041E42"/>
                <w:sz w:val="20"/>
                <w:szCs w:val="20"/>
              </w:rPr>
              <w:t xml:space="preserve">Practitioner (credit awarded)</w:t>
            </w:r>
          </w:p>
        </w:tc>
        <w:tc>
          <w:tcPr>
            <w:tcW w:type="dxa" w:w="1000"/>
            <w:shd w:fill="EDF0DE" w:val="clear"/>
            <w:tcMar>
              <w:top w:type="dxa" w:w="80"/>
              <w:left w:type="dxa" w:w="120"/>
              <w:bottom w:type="dxa" w:w="80"/>
              <w:right w:type="dxa" w:w="120"/>
            </w:tcMar>
          </w:tcPr>
          <w:p>
            <w:pPr>
              <w:jc w:val="center"/>
            </w:pPr>
            <w:r>
              <w:rPr>
                <w:rFonts w:ascii="Roboto" w:cs="Roboto" w:eastAsia="Roboto" w:hAnsi="Roboto"/>
                <w:color w:val="041E42"/>
                <w:sz w:val="20"/>
                <w:szCs w:val="20"/>
              </w:rPr>
              <w:t xml:space="preserve">3</w:t>
            </w:r>
          </w:p>
        </w:tc>
        <w:tc>
          <w:tcPr>
            <w:tcW w:type="dxa" w:w="6306"/>
            <w:shd w:fill="EDF0DE"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attempted to achieve the goal in at least one scenario and has a clear rationale for their actions.</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Reflective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3.5</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at least one scenario, with a clear rationale; and</w:t>
            </w:r>
          </w:p>
          <w:p>
            <w:pPr>
              <w:spacing w:after="0" w:line="264"/>
            </w:pPr>
            <w:r>
              <w:rPr>
                <w:rFonts w:ascii="Lato" w:cs="Lato" w:eastAsia="Lato" w:hAnsi="Lato"/>
                <w:b w:val="false"/>
                <w:bCs w:val="false"/>
                <w:color w:val="041E42"/>
                <w:sz w:val="20"/>
                <w:szCs w:val="20"/>
              </w:rPr>
              <w:t xml:space="preserve">Has identified strengths, weaknesses and improvements in their approach in at least one scenario, supporting their claims with evidence.</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Expert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4</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two or more scenarios, with a clear rationale;</w:t>
            </w:r>
          </w:p>
          <w:p>
            <w:pPr>
              <w:spacing w:after="60" w:line="264"/>
            </w:pPr>
            <w:r>
              <w:rPr>
                <w:rFonts w:ascii="Lato" w:cs="Lato" w:eastAsia="Lato" w:hAnsi="Lato"/>
                <w:b w:val="false"/>
                <w:bCs w:val="false"/>
                <w:color w:val="041E42"/>
                <w:sz w:val="20"/>
                <w:szCs w:val="20"/>
              </w:rPr>
              <w:t xml:space="preserve">Has identified strengths, weaknesses and improvements in two or more scenarios, supported with evidence; and</w:t>
            </w:r>
          </w:p>
          <w:p>
            <w:pPr>
              <w:spacing w:after="0" w:line="264"/>
            </w:pPr>
            <w:r>
              <w:rPr>
                <w:rFonts w:ascii="Lato" w:cs="Lato" w:eastAsia="Lato" w:hAnsi="Lato"/>
                <w:b w:val="false"/>
                <w:bCs w:val="false"/>
                <w:color w:val="041E42"/>
                <w:sz w:val="20"/>
                <w:szCs w:val="20"/>
              </w:rPr>
              <w:t xml:space="preserve">Has implemented improvements in their approach, demonstrating growth over time.</w:t>
            </w:r>
          </w:p>
        </w:tc>
      </w:tr>
    </w:tbl>
    <w:p>
      <w:pPr>
        <w:spacing w:after="60"/>
      </w:pPr>
    </w:p>
    <w:p>
      <w:pPr>
        <w:spacing w:after="60" w:line="276"/>
      </w:pPr>
      <w:r>
        <w:rPr>
          <w:rFonts w:ascii="Lato" w:cs="Lato" w:eastAsia="Lato" w:hAnsi="Lato"/>
          <w:b w:val="false"/>
          <w:bCs w:val="false"/>
          <w:i w:val="false"/>
          <w:iCs w:val="false"/>
          <w:color w:val="041E42"/>
          <w:sz w:val="21"/>
          <w:szCs w:val="21"/>
        </w:rPr>
        <w:t xml:space="preserve">What changes between adjacent levels, in one line each: No Level to Theorist, a rationale appears; Theorist to Practitioner, an attempt is made (this is the credit line); Practitioner to Reflective, the attempt achieves the goal and is joined by evidenced reflection; Reflective to Expert, achievement and reflection recur across two or more scenarios and an improvement is implemented over time.</w:t>
      </w:r>
    </w:p>
    <w:p>
      <w:pPr>
        <w:pBdr>
          <w:bottom w:val="single" w:color="8F993E" w:sz="6" w:space="4"/>
        </w:pBdr>
        <w:spacing w:after="100" w:before="260"/>
      </w:pPr>
      <w:r>
        <w:rPr>
          <w:rFonts w:ascii="Roboto" w:cs="Roboto" w:eastAsia="Roboto" w:hAnsi="Roboto"/>
          <w:b/>
          <w:bCs/>
          <w:color w:val="004976"/>
          <w:sz w:val="30"/>
          <w:szCs w:val="30"/>
        </w:rPr>
        <w:t xml:space="preserve">The five cases</w:t>
      </w:r>
    </w:p>
    <w:p>
      <w:pPr>
        <w:spacing w:after="120" w:line="276"/>
      </w:pPr>
      <w:r>
        <w:rPr>
          <w:rFonts w:ascii="Lato" w:cs="Lato" w:eastAsia="Lato" w:hAnsi="Lato"/>
          <w:b w:val="false"/>
          <w:bCs w:val="false"/>
          <w:i w:val="false"/>
          <w:iCs w:val="false"/>
          <w:color w:val="041E42"/>
          <w:sz w:val="21"/>
          <w:szCs w:val="21"/>
        </w:rPr>
        <w:t xml:space="preserve">Each case opens with a short context, then the educator-facing evidence, then the trainer-only key. The context sets the situation only; it does not settle the level, and the signals that do still live in the evidence. In the finished bank the key is held separately from what the educator sees; both are shown together here so you can judge the calibration.</w:t>
      </w:r>
    </w:p>
    <w:p>
      <w:pPr>
        <w:spacing w:after="120" w:line="276"/>
      </w:pPr>
      <w:r>
        <w:rPr>
          <w:rFonts w:ascii="Lato" w:cs="Lato" w:eastAsia="Lato" w:hAnsi="Lato"/>
          <w:b w:val="false"/>
          <w:bCs w:val="false"/>
          <w:i w:val="false"/>
          <w:iCs w:val="false"/>
          <w:color w:val="041E42"/>
          <w:sz w:val="21"/>
          <w:szCs w:val="21"/>
        </w:rPr>
        <w:t xml:space="preserve">Two rules govern the reflective dimension at Reflective and Expert, and they carry to every competency in the bank. First, the reflection must be about the learner’s approach to achieving this competency’s goal, here how they went about fostering connection and belonging, not general self-reflection and not reflection on the topic they happened to be working on. Second, that reflection can surface through any source, and the cases deliberately vary it: a conversation, a written reflection, something a learner says while presenting a project, a competency showcase, a performance. What matters is that the learner identifies strengths, weaknesses and improvements in their approach, not the form it arrives in.</w:t>
      </w:r>
    </w:p>
    <w:p>
      <w:pPr>
        <w:spacing w:after="120" w:line="276"/>
      </w:pPr>
      <w:r>
        <w:rPr>
          <w:rFonts w:ascii="Lato" w:cs="Lato" w:eastAsia="Lato" w:hAnsi="Lato"/>
          <w:b w:val="false"/>
          <w:bCs w:val="false"/>
          <w:i w:val="false"/>
          <w:iCs w:val="false"/>
          <w:color w:val="041E42"/>
          <w:sz w:val="21"/>
          <w:szCs w:val="21"/>
        </w:rPr>
        <w:t xml:space="preserve">A third rule governs how the evidence reads. It is written in the educator’s voice, as what the educator reviewed, saw and heard across sources over time: a plan they read, something they observed in class, a conversation they held, a peer’s remark. The number of sources varies from case to case, as it does in practice, and is not tied to the level; a lower-level case may carry more evidence than a higher one. The signals that decide the level, a rationale, an attempt, an achievement, evidenced reflection, are embedded in that account rather than labelled. The evidence never announces "here is the rationale"; recognising it is the assessment task, and where a case makes a signal too easy to spot it tests less than it should. The same holds for the reflective dimension: rather than stating that a reflection was backed by evidence, the cases show what the learner pointed to, and leave the educator to judge whether it holds.</w:t>
      </w:r>
    </w:p>
    <w:p>
      <w:pPr>
        <w:spacing w:after="120" w:line="276"/>
      </w:pPr>
      <w:r>
        <w:rPr>
          <w:rFonts w:ascii="Lato" w:cs="Lato" w:eastAsia="Lato" w:hAnsi="Lato"/>
          <w:b w:val="false"/>
          <w:bCs w:val="false"/>
          <w:i w:val="false"/>
          <w:iCs w:val="false"/>
          <w:color w:val="041E42"/>
          <w:sz w:val="21"/>
          <w:szCs w:val="21"/>
        </w:rPr>
        <w:t xml:space="preserve">A fourth point shapes what the evidence is about. The judgement is about the learner’s competence in fostering connection and belonging, drawn from what the educator has seen them do and achieve, sometimes across more than one situation and sometimes within a single piece of work where that is the natural frame. It is not the grading of a project. This shows in how the competency is probed, in conversation, in writing, or while presenting work: a learner may speak first about how a project went, but the assessable part is what they say about how they foster connection and belonging, and it is that account which carries the reflection. One caution for calibration: the breadth of what the educator knows about a learner does not change the scale’s scenario counts. It is still one achieved-and-reflected scenario that marks Reflective, and two or more with improvement over time that mark Expert.</w:t>
      </w:r>
    </w:p>
    <w:p>
      <w:pPr>
        <w:spacing w:after="100" w:before="240"/>
      </w:pPr>
      <w:r>
        <w:rPr>
          <w:rFonts w:ascii="Roboto" w:cs="Roboto" w:eastAsia="Roboto" w:hAnsi="Roboto"/>
          <w:b/>
          <w:bCs/>
          <w:color w:val="004976"/>
          <w:sz w:val="25"/>
          <w:szCs w:val="25"/>
        </w:rPr>
        <w:t xml:space="preserve">Case FLC2-01  ·  No level awarded</w:t>
      </w:r>
    </w:p>
    <w:p>
      <w:pPr>
        <w:spacing w:after="120"/>
      </w:pPr>
      <w:r>
        <w:rPr>
          <w:rFonts w:ascii="Lato" w:cs="Lato" w:eastAsia="Lato" w:hAnsi="Lato"/>
          <w:i/>
          <w:iCs/>
          <w:color w:val="97999B"/>
          <w:sz w:val="21"/>
          <w:szCs w:val="21"/>
        </w:rPr>
        <w:t xml:space="preserve">Karim  ·  Jordan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Karim is a learner in Jordan. His educator is assessing how he fosters connection and belonging among his peers. The evidence comes from group sessions and conversations in the first weeks of term.</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In group work over the first weeks, the educator watched how Karim was with others. He took part in the tasks but stayed with one friend, and when a new member joined his table he carried on without acknowledging her. He did not seem to register who in the group was taking part and who was on the edge of it.</w:t>
      </w:r>
    </w:p>
    <w:p>
      <w:pPr>
        <w:spacing w:after="140" w:line="276"/>
      </w:pPr>
      <w:r>
        <w:rPr>
          <w:rFonts w:ascii="Lato" w:cs="Lato" w:eastAsia="Lato" w:hAnsi="Lato"/>
          <w:b w:val="false"/>
          <w:bCs w:val="false"/>
          <w:i w:val="false"/>
          <w:iCs w:val="false"/>
          <w:color w:val="041E42"/>
          <w:sz w:val="21"/>
          <w:szCs w:val="21"/>
        </w:rPr>
        <w:t xml:space="preserve">In conversation, the educator asked Karim how he might help someone new feel part of the group, what he could do or say. He said he was not sure, that this was more the facilitator’s job, and could not describe anything he would do to help another person feel included.</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No level awarded</w:t>
            </w:r>
          </w:p>
          <w:p>
            <w:pPr>
              <w:spacing w:after="100" w:line="276"/>
            </w:pPr>
            <w:r>
              <w:rPr>
                <w:rFonts w:ascii="Lato" w:cs="Lato" w:eastAsia="Lato" w:hAnsi="Lato"/>
                <w:color w:val="041E42"/>
                <w:sz w:val="21"/>
                <w:szCs w:val="21"/>
              </w:rPr>
              <w:t xml:space="preserve">The evidence shows no rationale for fostering connection or belonging. Karim can describe no way of helping another person feel part of the group, and in the group itself he does not notice who is included and who is not; there is nothing here that amounts to an approach.</w:t>
            </w:r>
          </w:p>
          <w:p>
            <w:pPr>
              <w:spacing w:after="100" w:line="276"/>
            </w:pPr>
            <w:r>
              <w:rPr>
                <w:rFonts w:ascii="Lato" w:cs="Lato" w:eastAsia="Lato" w:hAnsi="Lato"/>
                <w:color w:val="041E42"/>
                <w:sz w:val="21"/>
                <w:szCs w:val="21"/>
              </w:rPr>
              <w:t xml:space="preserve">Because there is no rationale for how he would foster belonging in even one instance, the evidence does not reach Theorist.</w:t>
            </w:r>
          </w:p>
          <w:p>
            <w:pPr>
              <w:spacing w:after="0" w:line="276"/>
            </w:pPr>
            <w:r>
              <w:rPr>
                <w:rFonts w:ascii="Lato" w:cs="Lato" w:eastAsia="Lato" w:hAnsi="Lato"/>
                <w:color w:val="041E42"/>
                <w:sz w:val="21"/>
                <w:szCs w:val="21"/>
              </w:rPr>
              <w:t xml:space="preserve">Watch here: a quiet or reserved learner is not automatically at No Level Awarded, and shyness is not the same as lacking the competency. The judgement rests on the absence of any rationale for fostering belonging, which is what the evidence shows, not on how outgoing he is.</w:t>
            </w:r>
          </w:p>
        </w:tc>
      </w:tr>
    </w:tbl>
    <w:p>
      <w:pPr>
        <w:spacing w:after="60"/>
      </w:pPr>
    </w:p>
    <w:p>
      <w:pPr>
        <w:spacing w:after="100" w:before="240"/>
      </w:pPr>
      <w:r>
        <w:rPr>
          <w:rFonts w:ascii="Roboto" w:cs="Roboto" w:eastAsia="Roboto" w:hAnsi="Roboto"/>
          <w:b/>
          <w:bCs/>
          <w:color w:val="004976"/>
          <w:sz w:val="25"/>
          <w:szCs w:val="25"/>
        </w:rPr>
        <w:t xml:space="preserve">Case FLC2-02  ·  Theorist</w:t>
      </w:r>
    </w:p>
    <w:p>
      <w:pPr>
        <w:spacing w:after="120"/>
      </w:pPr>
      <w:r>
        <w:rPr>
          <w:rFonts w:ascii="Lato" w:cs="Lato" w:eastAsia="Lato" w:hAnsi="Lato"/>
          <w:i/>
          <w:iCs/>
          <w:color w:val="97999B"/>
          <w:sz w:val="21"/>
          <w:szCs w:val="21"/>
        </w:rPr>
        <w:t xml:space="preserve">Fatima  ·  Nairobi,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Fatima is a learner in Nairobi, Kenya. Her educator has seen that she thinks carefully about how groups work, and is assessing how she fosters connection and belonging. A situation in view is a new intake joining her cohort, some of whom speak a different first language.</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a plan Fatima wrote when the cohort discussed welcoming the new intake. She set out a clear approach: pair each newcomer with an existing member, open each session with a short shared activity, and use both languages in the room so no one was shut out. She explained why, that people take part when they feel known and can follow, so pairing and language were where it mattered most.</w:t>
      </w:r>
    </w:p>
    <w:p>
      <w:pPr>
        <w:spacing w:after="140" w:line="276"/>
      </w:pPr>
      <w:r>
        <w:rPr>
          <w:rFonts w:ascii="Lato" w:cs="Lato" w:eastAsia="Lato" w:hAnsi="Lato"/>
          <w:b w:val="false"/>
          <w:bCs w:val="false"/>
          <w:i w:val="false"/>
          <w:iCs w:val="false"/>
          <w:color w:val="041E42"/>
          <w:sz w:val="21"/>
          <w:szCs w:val="21"/>
        </w:rPr>
        <w:t xml:space="preserve">In conversation, the educator asked Fatima more broadly how she goes about helping people feel they belong. She spoke thoughtfully, describing how she would notice who was on the edge of a group and why she would bring them in through others rather than singling them out.</w:t>
      </w:r>
    </w:p>
    <w:p>
      <w:pPr>
        <w:spacing w:after="140" w:line="276"/>
      </w:pPr>
      <w:r>
        <w:rPr>
          <w:rFonts w:ascii="Lato" w:cs="Lato" w:eastAsia="Lato" w:hAnsi="Lato"/>
          <w:b w:val="false"/>
          <w:bCs w:val="false"/>
          <w:i w:val="false"/>
          <w:iCs w:val="false"/>
          <w:color w:val="041E42"/>
          <w:sz w:val="21"/>
          <w:szCs w:val="21"/>
        </w:rPr>
        <w:t xml:space="preserve">Across the following weeks, though, the educator saw Fatima do none of it. She sat with her usual friends, the newcomers stayed on the margins, and no pairing or shared opening happened. Asked about it, she said she had meant to but it felt awkward to start.</w:t>
      </w:r>
    </w:p>
    <w:p>
      <w:pPr>
        <w:spacing w:after="140" w:line="276"/>
      </w:pPr>
      <w:r>
        <w:rPr>
          <w:rFonts w:ascii="Lato" w:cs="Lato" w:eastAsia="Lato" w:hAnsi="Lato"/>
          <w:b w:val="false"/>
          <w:bCs w:val="false"/>
          <w:i w:val="false"/>
          <w:iCs w:val="false"/>
          <w:color w:val="041E42"/>
          <w:sz w:val="21"/>
          <w:szCs w:val="21"/>
        </w:rPr>
        <w:t xml:space="preserve">A peer noted that Fatima had good ideas about including people but had not actually reached out to any of the new members.</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Theorist</w:t>
            </w:r>
          </w:p>
          <w:p>
            <w:pPr>
              <w:spacing w:after="100" w:line="276"/>
            </w:pPr>
            <w:r>
              <w:rPr>
                <w:rFonts w:ascii="Lato" w:cs="Lato" w:eastAsia="Lato" w:hAnsi="Lato"/>
                <w:color w:val="041E42"/>
                <w:sz w:val="21"/>
                <w:szCs w:val="21"/>
              </w:rPr>
              <w:t xml:space="preserve">Fatima has a clear, reasoned approach to fostering belonging and can explain why she would do what she describes. That is the rationale an educator has to find in the evidence, and it clears No Level Awarded and meets Theorist.</w:t>
            </w:r>
          </w:p>
          <w:p>
            <w:pPr>
              <w:spacing w:after="100" w:line="276"/>
            </w:pPr>
            <w:r>
              <w:rPr>
                <w:rFonts w:ascii="Lato" w:cs="Lato" w:eastAsia="Lato" w:hAnsi="Lato"/>
                <w:color w:val="041E42"/>
                <w:sz w:val="21"/>
                <w:szCs w:val="21"/>
              </w:rPr>
              <w:t xml:space="preserve">She does not reach Practitioner because there is no attempt: across the weeks the educator observed, and by a peer’s account, she has not acted on any of it. The newcomers remain on the margins.</w:t>
            </w:r>
          </w:p>
          <w:p>
            <w:pPr>
              <w:spacing w:after="0" w:line="276"/>
            </w:pPr>
            <w:r>
              <w:rPr>
                <w:rFonts w:ascii="Lato" w:cs="Lato" w:eastAsia="Lato" w:hAnsi="Lato"/>
                <w:color w:val="041E42"/>
                <w:sz w:val="21"/>
                <w:szCs w:val="21"/>
              </w:rPr>
              <w:t xml:space="preserve">Watch here: fluent, thoughtful ideas about inclusion can tempt an over-award to Practitioner. The credit threshold turns on an actual attempt to foster belonging, not on how well the learner talks about it.</w:t>
            </w:r>
          </w:p>
        </w:tc>
      </w:tr>
    </w:tbl>
    <w:p>
      <w:pPr>
        <w:spacing w:after="60"/>
      </w:pPr>
    </w:p>
    <w:p>
      <w:pPr>
        <w:spacing w:after="100" w:before="240"/>
      </w:pPr>
      <w:r>
        <w:rPr>
          <w:rFonts w:ascii="Roboto" w:cs="Roboto" w:eastAsia="Roboto" w:hAnsi="Roboto"/>
          <w:b/>
          <w:bCs/>
          <w:color w:val="004976"/>
          <w:sz w:val="25"/>
          <w:szCs w:val="25"/>
        </w:rPr>
        <w:t xml:space="preserve">Case FLC2-03  ·  Practitioner (credit awarded)</w:t>
      </w:r>
    </w:p>
    <w:p>
      <w:pPr>
        <w:spacing w:after="120"/>
      </w:pPr>
      <w:r>
        <w:rPr>
          <w:rFonts w:ascii="Lato" w:cs="Lato" w:eastAsia="Lato" w:hAnsi="Lato"/>
          <w:i/>
          <w:iCs/>
          <w:color w:val="97999B"/>
          <w:sz w:val="21"/>
          <w:szCs w:val="21"/>
        </w:rPr>
        <w:t xml:space="preserve">Joseph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Joseph is an online learner. His educator is assessing how he fosters connection and belonging, drawing on how he has been in the online sessions, where a few learners rarely speak.</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Asked how he might help the quieter members feel more part of the online group, Joseph set out what he would do: greet people by name as they joined, and use the chat to bring the quiet ones in with easy questions. He reasoned that on a call it is easy to disappear, so naming people and low-stakes questions would help them speak.</w:t>
      </w:r>
    </w:p>
    <w:p>
      <w:pPr>
        <w:spacing w:after="140" w:line="276"/>
      </w:pPr>
      <w:r>
        <w:rPr>
          <w:rFonts w:ascii="Lato" w:cs="Lato" w:eastAsia="Lato" w:hAnsi="Lato"/>
          <w:b w:val="false"/>
          <w:bCs w:val="false"/>
          <w:i w:val="false"/>
          <w:iCs w:val="false"/>
          <w:color w:val="041E42"/>
          <w:sz w:val="21"/>
          <w:szCs w:val="21"/>
        </w:rPr>
        <w:t xml:space="preserve">The educator saw Joseph do this across several sessions. He welcomed people by name and put gentle questions to the quieter members through the chat, and he could explain why he had chosen that way in.</w:t>
      </w:r>
    </w:p>
    <w:p>
      <w:pPr>
        <w:spacing w:after="140" w:line="276"/>
      </w:pPr>
      <w:r>
        <w:rPr>
          <w:rFonts w:ascii="Lato" w:cs="Lato" w:eastAsia="Lato" w:hAnsi="Lato"/>
          <w:b w:val="false"/>
          <w:bCs w:val="false"/>
          <w:i w:val="false"/>
          <w:iCs w:val="false"/>
          <w:color w:val="041E42"/>
          <w:sz w:val="21"/>
          <w:szCs w:val="21"/>
        </w:rPr>
        <w:t xml:space="preserve">In a session debrief the educator turned to how Joseph goes about building belonging and what he would change in his approach. He described what he had done but could not step back from it: asked what had worked or fallen flat, he said he was not sure, he had just tried to be friendly. And though he had made the effort steadily, the quieter members had not come in any more than before, and there was no sign the group had begun to feel more connected as a result.</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Practitioner</w:t>
            </w:r>
          </w:p>
          <w:p>
            <w:pPr>
              <w:spacing w:after="100" w:line="276"/>
            </w:pPr>
            <w:r>
              <w:rPr>
                <w:rFonts w:ascii="Lato" w:cs="Lato" w:eastAsia="Lato" w:hAnsi="Lato"/>
                <w:color w:val="041E42"/>
                <w:sz w:val="21"/>
                <w:szCs w:val="21"/>
              </w:rPr>
              <w:t xml:space="preserve">Joseph attempted to foster belonging, taking deliberate and repeated action with a clear rationale. That meets Practitioner and awards credit.</w:t>
            </w:r>
          </w:p>
          <w:p>
            <w:pPr>
              <w:spacing w:after="100" w:line="276"/>
            </w:pPr>
            <w:r>
              <w:rPr>
                <w:rFonts w:ascii="Lato" w:cs="Lato" w:eastAsia="Lato" w:hAnsi="Lato"/>
                <w:color w:val="041E42"/>
                <w:sz w:val="21"/>
                <w:szCs w:val="21"/>
              </w:rPr>
              <w:t xml:space="preserve">He does not reach Reflective on two counts. There is no sign the conditions actually changed: the quieter members did not come in more, so belonging has not been shown to result. And asked to reflect on how he fosters belonging, he identified no strength, weakness or improvement in his approach, so the reflective dimension is absent.</w:t>
            </w:r>
          </w:p>
          <w:p>
            <w:pPr>
              <w:spacing w:after="0" w:line="276"/>
            </w:pPr>
            <w:r>
              <w:rPr>
                <w:rFonts w:ascii="Lato" w:cs="Lato" w:eastAsia="Lato" w:hAnsi="Lato"/>
                <w:color w:val="041E42"/>
                <w:sz w:val="21"/>
                <w:szCs w:val="21"/>
              </w:rPr>
              <w:t xml:space="preserve">Watch here: a genuine, sustained effort to be welcoming can read as achievement and tempt an award of Reflective. For this competency the goal is that people come to feel part of the group, which is not yet evidenced, and there is no reflection on approach.</w:t>
            </w:r>
          </w:p>
        </w:tc>
      </w:tr>
    </w:tbl>
    <w:p>
      <w:pPr>
        <w:spacing w:after="60"/>
      </w:pPr>
    </w:p>
    <w:p>
      <w:pPr>
        <w:spacing w:after="100" w:before="240"/>
      </w:pPr>
      <w:r>
        <w:rPr>
          <w:rFonts w:ascii="Roboto" w:cs="Roboto" w:eastAsia="Roboto" w:hAnsi="Roboto"/>
          <w:b/>
          <w:bCs/>
          <w:color w:val="004976"/>
          <w:sz w:val="25"/>
          <w:szCs w:val="25"/>
        </w:rPr>
        <w:t xml:space="preserve">Case FLC2-04  ·  Reflective Practitioner</w:t>
      </w:r>
    </w:p>
    <w:p>
      <w:pPr>
        <w:spacing w:after="120"/>
      </w:pPr>
      <w:r>
        <w:rPr>
          <w:rFonts w:ascii="Lato" w:cs="Lato" w:eastAsia="Lato" w:hAnsi="Lato"/>
          <w:i/>
          <w:iCs/>
          <w:color w:val="97999B"/>
          <w:sz w:val="21"/>
          <w:szCs w:val="21"/>
        </w:rPr>
        <w:t xml:space="preserve">Leila  ·  Kampala, Uganda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Leila is a learner in Kampala, Uganda. Her educator is assessing how she fosters connection and belonging. The clearest evidence is one situation this term: a new learner, Sana, joined the group part-way through and was struggling to find a place in it.</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Leila set out what she would do to help Sana settle: sit with her, bring her into the friendship group, and give her a real part in the group task so she had a reason to contribute. She reasoned that belonging comes from being needed and known, not from being welcomed once.</w:t>
      </w:r>
    </w:p>
    <w:p>
      <w:pPr>
        <w:spacing w:after="140" w:line="276"/>
      </w:pPr>
      <w:r>
        <w:rPr>
          <w:rFonts w:ascii="Lato" w:cs="Lato" w:eastAsia="Lato" w:hAnsi="Lato"/>
          <w:b w:val="false"/>
          <w:bCs w:val="false"/>
          <w:i w:val="false"/>
          <w:iCs w:val="false"/>
          <w:color w:val="041E42"/>
          <w:sz w:val="21"/>
          <w:szCs w:val="21"/>
        </w:rPr>
        <w:t xml:space="preserve">The educator watched it play out over several weeks. Leila drew Sana in and handed her a genuine part in the group’s project, and by mid-term Sana was speaking up in sessions and had been taken into the group; other learners had followed Leila’s lead and begun turning to Sana on the task.</w:t>
      </w:r>
    </w:p>
    <w:p>
      <w:pPr>
        <w:spacing w:after="140" w:line="276"/>
      </w:pPr>
      <w:r>
        <w:rPr>
          <w:rFonts w:ascii="Lato" w:cs="Lato" w:eastAsia="Lato" w:hAnsi="Lato"/>
          <w:b w:val="false"/>
          <w:bCs w:val="false"/>
          <w:i w:val="false"/>
          <w:iCs w:val="false"/>
          <w:color w:val="041E42"/>
          <w:sz w:val="21"/>
          <w:szCs w:val="21"/>
        </w:rPr>
        <w:t xml:space="preserve">At a session where learners shared something they had worked on, Leila talked about how she had gone about it. Giving Sana a role, she said, had done more than being kind to her, because it gave the others a reason to depend on her, and she pointed to how the group had started bringing Sana into decisions. She was also honest that she had put so much into Sana that she had let another quiet learner slip that month, and said she would try to keep the whole group in view next time, not only the newcomer.</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Reflective Practitioner</w:t>
            </w:r>
          </w:p>
          <w:p>
            <w:pPr>
              <w:spacing w:after="100" w:line="276"/>
            </w:pPr>
            <w:r>
              <w:rPr>
                <w:rFonts w:ascii="Lato" w:cs="Lato" w:eastAsia="Lato" w:hAnsi="Lato"/>
                <w:color w:val="041E42"/>
                <w:sz w:val="21"/>
                <w:szCs w:val="21"/>
              </w:rPr>
              <w:t xml:space="preserve">Leila achieved the goal in one instance with a clear rationale: she cultivated conditions in which Sana came to feel part of the group, and the change showed, in Sana speaking up and in others including her. The reflective dimension is present too: talking about how she fosters belonging, she set out what had worked and why, and a real limitation in her approach, and grounded each in what happened rather than asserting it.</w:t>
            </w:r>
          </w:p>
          <w:p>
            <w:pPr>
              <w:spacing w:after="100" w:line="276"/>
            </w:pPr>
            <w:r>
              <w:rPr>
                <w:rFonts w:ascii="Lato" w:cs="Lato" w:eastAsia="Lato" w:hAnsi="Lato"/>
                <w:color w:val="041E42"/>
                <w:sz w:val="21"/>
                <w:szCs w:val="21"/>
              </w:rPr>
              <w:t xml:space="preserve">She does not reach Expert because the achievement sits in a single instance, and she has not yet implemented her identified improvement, keeping the whole group in view, in a second one over time.</w:t>
            </w:r>
          </w:p>
          <w:p>
            <w:pPr>
              <w:spacing w:after="0" w:line="276"/>
            </w:pPr>
            <w:r>
              <w:rPr>
                <w:rFonts w:ascii="Lato" w:cs="Lato" w:eastAsia="Lato" w:hAnsi="Lato"/>
                <w:color w:val="041E42"/>
                <w:sz w:val="21"/>
                <w:szCs w:val="21"/>
              </w:rPr>
              <w:t xml:space="preserve">Watch here: a strong single instance with good reflection can tempt an Expert award. Expert requires two or more instances and improvement actually implemented and shown to work, neither of which is present yet.</w:t>
            </w:r>
          </w:p>
        </w:tc>
      </w:tr>
    </w:tbl>
    <w:p>
      <w:pPr>
        <w:spacing w:after="60"/>
      </w:pPr>
    </w:p>
    <w:p>
      <w:pPr>
        <w:spacing w:after="100" w:before="240"/>
      </w:pPr>
      <w:r>
        <w:rPr>
          <w:rFonts w:ascii="Roboto" w:cs="Roboto" w:eastAsia="Roboto" w:hAnsi="Roboto"/>
          <w:b/>
          <w:bCs/>
          <w:color w:val="004976"/>
          <w:sz w:val="25"/>
          <w:szCs w:val="25"/>
        </w:rPr>
        <w:t xml:space="preserve">Case FLC2-05  ·  Expert Practitioner</w:t>
      </w:r>
    </w:p>
    <w:p>
      <w:pPr>
        <w:spacing w:after="120"/>
      </w:pPr>
      <w:r>
        <w:rPr>
          <w:rFonts w:ascii="Lato" w:cs="Lato" w:eastAsia="Lato" w:hAnsi="Lato"/>
          <w:i/>
          <w:iCs/>
          <w:color w:val="97999B"/>
          <w:sz w:val="21"/>
          <w:szCs w:val="21"/>
        </w:rPr>
        <w:t xml:space="preserve">Miriam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Miriam is a learner in Kakuma, Kenya. Her educator has seen her foster connection and belonging in more than one situation across the year, and is assessing the competency across that fuller picture. Two clear instances are welcoming a wave of new arrivals into the learning group and, later, bridging a split between two language groups in a project team.</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how Miriam approached each situation, and noted that in the second she deliberately changed something that had not worked in the first.</w:t>
      </w:r>
    </w:p>
    <w:p>
      <w:pPr>
        <w:spacing w:after="140" w:line="276"/>
      </w:pPr>
      <w:r>
        <w:rPr>
          <w:rFonts w:ascii="Lato" w:cs="Lato" w:eastAsia="Lato" w:hAnsi="Lato"/>
          <w:b w:val="false"/>
          <w:bCs w:val="false"/>
          <w:i w:val="false"/>
          <w:iCs w:val="false"/>
          <w:color w:val="041E42"/>
          <w:sz w:val="21"/>
          <w:szCs w:val="21"/>
        </w:rPr>
        <w:t xml:space="preserve">For the new arrivals, the educator saw her set up a buddy arrangement and a shared opening to each session; over some weeks the newcomers went from silent to taking part, and the group held together rather than splitting into old and new.</w:t>
      </w:r>
    </w:p>
    <w:p>
      <w:pPr>
        <w:spacing w:after="140" w:line="276"/>
      </w:pPr>
      <w:r>
        <w:rPr>
          <w:rFonts w:ascii="Lato" w:cs="Lato" w:eastAsia="Lato" w:hAnsi="Lato"/>
          <w:b w:val="false"/>
          <w:bCs w:val="false"/>
          <w:i w:val="false"/>
          <w:iCs w:val="false"/>
          <w:color w:val="041E42"/>
          <w:sz w:val="21"/>
          <w:szCs w:val="21"/>
        </w:rPr>
        <w:t xml:space="preserve">Later, when a project team divided along language lines, the educator saw Miriam mix the pairs deliberately and have each pair present their part jointly, and the divide eased as members came to rely on one another across the language line.</w:t>
      </w:r>
    </w:p>
    <w:p>
      <w:pPr>
        <w:spacing w:after="140" w:line="276"/>
      </w:pPr>
      <w:r>
        <w:rPr>
          <w:rFonts w:ascii="Lato" w:cs="Lato" w:eastAsia="Lato" w:hAnsi="Lato"/>
          <w:b w:val="false"/>
          <w:bCs w:val="false"/>
          <w:i w:val="false"/>
          <w:iCs w:val="false"/>
          <w:color w:val="041E42"/>
          <w:sz w:val="21"/>
          <w:szCs w:val="21"/>
        </w:rPr>
        <w:t xml:space="preserve">At a competency showcase, Miriam presented both and was clear about how her approach had grown. With the new arrivals, she said, she had welcomed them warmly but left them sitting together, so they had stayed a separate cluster for a while; learning from that, with the project team she mixed people from the start so that belonging had to cross the two groups, and she pointed to how the joint presentations had changed who spoke to whom. She could say plainly what she had carried from the first situation into the second.</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Expert Practitioner</w:t>
            </w:r>
          </w:p>
          <w:p>
            <w:pPr>
              <w:spacing w:after="100" w:line="276"/>
            </w:pPr>
            <w:r>
              <w:rPr>
                <w:rFonts w:ascii="Lato" w:cs="Lato" w:eastAsia="Lato" w:hAnsi="Lato"/>
                <w:color w:val="041E42"/>
                <w:sz w:val="21"/>
                <w:szCs w:val="21"/>
              </w:rPr>
              <w:t xml:space="preserve">Miriam achieved the goal in two distinct instances with a clear rationale, cultivating conditions in which people came to feel part of the group, and in each the change showed. The reflective dimension is present in both, and she implemented an improvement carried from the first to the second, mixing people from the start rather than letting a group settle apart, with what she showed at the showcase demonstrating the change worked.</w:t>
            </w:r>
          </w:p>
          <w:p>
            <w:pPr>
              <w:spacing w:after="0" w:line="276"/>
            </w:pPr>
            <w:r>
              <w:rPr>
                <w:rFonts w:ascii="Lato" w:cs="Lato" w:eastAsia="Lato" w:hAnsi="Lato"/>
                <w:color w:val="041E42"/>
                <w:sz w:val="21"/>
                <w:szCs w:val="21"/>
              </w:rPr>
              <w:t xml:space="preserve">That meets every Expert criterion, including growth over time. This is the full top rung: all dimensions are present and evidenced across more than one instance.</w:t>
            </w:r>
          </w:p>
        </w:tc>
      </w:tr>
    </w:tbl>
    <w:p>
      <w:pPr>
        <w:spacing w:after="60"/>
      </w:pPr>
    </w:p>
    <w:p>
      <w:pPr>
        <w:pBdr>
          <w:bottom w:val="single" w:color="8F993E" w:sz="6" w:space="4"/>
        </w:pBdr>
        <w:spacing w:after="100" w:before="260"/>
      </w:pPr>
      <w:r>
        <w:rPr>
          <w:rFonts w:ascii="Roboto" w:cs="Roboto" w:eastAsia="Roboto" w:hAnsi="Roboto"/>
          <w:b/>
          <w:bCs/>
          <w:color w:val="004976"/>
          <w:sz w:val="30"/>
          <w:szCs w:val="30"/>
        </w:rPr>
        <w:t xml:space="preserve">How to review this probe</w:t>
      </w:r>
    </w:p>
    <w:p>
      <w:pPr>
        <w:spacing w:after="0" w:line="276"/>
      </w:pPr>
      <w:r>
        <w:rPr>
          <w:rFonts w:ascii="Lato" w:cs="Lato" w:eastAsia="Lato" w:hAnsi="Lato"/>
          <w:b w:val="false"/>
          <w:bCs w:val="false"/>
          <w:i w:val="false"/>
          <w:iCs w:val="false"/>
          <w:color w:val="041E42"/>
          <w:sz w:val="21"/>
          <w:szCs w:val="21"/>
        </w:rPr>
        <w:t xml:space="preserve">For each case, cover the key, decide the level yourself from the evidence, then compare. Flag any case where you would award a different level, where the evidence feels too thin to defend the decision, or where it over-signals and makes the judgement too easy. Note especially whether the two near-miss tensions work: the Theorist and Practitioner boundary in cases 02 and 03, and the Reflective and Expert boundary in cases 04 and 05. If the ladder reads cleanly, the bank is complete: fifteen cases across three competencies. If any rung is soft, it is cheaper to fix it here than to leave it in the live set.</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97999B"/>
        <w:sz w:val="16"/>
        <w:szCs w:val="16"/>
      </w:rPr>
      <w:t xml:space="preserve">Amala Education for Change     ·     Case bank: calibration probe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Assessments of Competence — Case bank calibration probe</dc:title>
  <dc:creator>Amala Education for Change</dc:creator>
  <cp:lastModifiedBy>Un-named</cp:lastModifiedBy>
  <cp:revision>1</cp:revision>
  <dcterms:created xsi:type="dcterms:W3CDTF">2026-07-31T07:27:50.524Z</dcterms:created>
  <dcterms:modified xsi:type="dcterms:W3CDTF">2026-07-31T07:27:50.538Z</dcterms:modified>
</cp:coreProperties>
</file>

<file path=docProps/custom.xml><?xml version="1.0" encoding="utf-8"?>
<Properties xmlns="http://schemas.openxmlformats.org/officeDocument/2006/custom-properties" xmlns:vt="http://schemas.openxmlformats.org/officeDocument/2006/docPropsVTypes"/>
</file>