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Calibration probe</w:t>
      </w:r>
    </w:p>
    <w:p>
      <w:pPr>
        <w:spacing w:after="200"/>
      </w:pPr>
      <w:r>
        <w:rPr>
          <w:rFonts w:ascii="Lato" w:cs="Lato" w:eastAsia="Lato" w:hAnsi="Lato"/>
          <w:i/>
          <w:iCs/>
          <w:color w:val="97999B"/>
          <w:sz w:val="21"/>
          <w:szCs w:val="21"/>
        </w:rPr>
        <w:t xml:space="preserve">One competency’s full proficiency ladder, drafted for calibration review</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pPr>
            <w:r>
              <w:rPr>
                <w:rFonts w:ascii="Roboto" w:cs="Roboto" w:eastAsia="Roboto" w:hAnsi="Roboto"/>
                <w:b/>
                <w:bCs/>
                <w:color w:val="004976"/>
                <w:sz w:val="22"/>
                <w:szCs w:val="22"/>
              </w:rPr>
              <w:t xml:space="preserve">What this is</w:t>
            </w:r>
          </w:p>
          <w:p>
            <w:pPr>
              <w:spacing w:after="100" w:line="276"/>
            </w:pPr>
            <w:r>
              <w:rPr>
                <w:rFonts w:ascii="Lato" w:cs="Lato" w:eastAsia="Lato" w:hAnsi="Lato"/>
                <w:b w:val="false"/>
                <w:bCs w:val="false"/>
                <w:i w:val="false"/>
                <w:iCs w:val="false"/>
                <w:color w:val="041E42"/>
                <w:sz w:val="21"/>
                <w:szCs w:val="21"/>
              </w:rPr>
              <w:t xml:space="preserve">This is a draft calibration probe: five learner case studies for a single competency, Set and pursue goals (FSL2), one at each level of the proficiency scale. Each case presents evidence about the learner from more than one source, followed by a trainer-only moderated decision and the reasoning behind it.</w:t>
            </w:r>
          </w:p>
          <w:p>
            <w:pPr>
              <w:spacing w:after="100" w:line="276"/>
            </w:pPr>
            <w:r>
              <w:rPr>
                <w:rFonts w:ascii="Lato" w:cs="Lato" w:eastAsia="Lato" w:hAnsi="Lato"/>
                <w:b w:val="false"/>
                <w:bCs w:val="false"/>
                <w:i w:val="false"/>
                <w:iCs w:val="false"/>
                <w:color w:val="041E42"/>
                <w:sz w:val="21"/>
                <w:szCs w:val="21"/>
              </w:rPr>
              <w:t xml:space="preserve">Its purpose is ratification, not delivery. Read each case, form your own judgement from the evidence, then check it against the moderated decision. The probe passes if each case sits cleanly at its stated level and adjacent levels are genuinely distinguishable, in particular the credit line (Theorist to Practitioner) and the top boundary (Reflective to Expert).</w:t>
            </w:r>
          </w:p>
          <w:p>
            <w:pPr>
              <w:spacing w:after="100" w:line="276"/>
            </w:pPr>
            <w:r>
              <w:rPr>
                <w:rFonts w:ascii="Lato" w:cs="Lato" w:eastAsia="Lato" w:hAnsi="Lato"/>
                <w:b w:val="false"/>
                <w:bCs w:val="false"/>
                <w:i w:val="false"/>
                <w:iCs w:val="false"/>
                <w:color w:val="041E42"/>
                <w:sz w:val="21"/>
                <w:szCs w:val="21"/>
              </w:rPr>
              <w:t xml:space="preserve">Once ratified, the same method scales to the other two competencies, Investigate real-world issues (FSI1) and Fostering connection and belonging (FLC2), to complete a bank of fifteen cases (three competencies by five levels).</w:t>
            </w:r>
          </w:p>
          <w:p>
            <w:pPr>
              <w:spacing w:after="0" w:line="276"/>
            </w:pPr>
            <w:r>
              <w:rPr>
                <w:rFonts w:ascii="Lato" w:cs="Lato" w:eastAsia="Lato" w:hAnsi="Lato"/>
                <w:b/>
                <w:bCs/>
                <w:i w:val="false"/>
                <w:iCs w:val="false"/>
                <w:color w:val="041E42"/>
                <w:sz w:val="21"/>
                <w:szCs w:val="21"/>
              </w:rPr>
              <w:t xml:space="preserve">The moderated decisions here are drafted, not yet moderated by a person. They require a human moderation pass before the bank is used for live sign-off. [to verify]</w:t>
            </w:r>
          </w:p>
        </w:tc>
      </w:tr>
    </w:tbl>
    <w:p>
      <w:pPr>
        <w:spacing w:after="120"/>
      </w:pPr>
    </w:p>
    <w:p>
      <w:pPr>
        <w:pBdr>
          <w:bottom w:val="single" w:color="8F993E" w:sz="6" w:space="4"/>
        </w:pBdr>
        <w:spacing w:after="100" w:before="260"/>
      </w:pPr>
      <w:r>
        <w:rPr>
          <w:rFonts w:ascii="Roboto" w:cs="Roboto" w:eastAsia="Roboto" w:hAnsi="Roboto"/>
          <w:b/>
          <w:bCs/>
          <w:color w:val="004976"/>
          <w:sz w:val="30"/>
          <w:szCs w:val="30"/>
        </w:rPr>
        <w:t xml:space="preserve">The competency under assessment</w:t>
      </w:r>
    </w:p>
    <w:p>
      <w:pPr>
        <w:spacing w:after="60"/>
      </w:pPr>
      <w:r>
        <w:rPr>
          <w:rFonts w:ascii="Roboto" w:cs="Roboto" w:eastAsia="Roboto" w:hAnsi="Roboto"/>
          <w:b/>
          <w:bCs/>
          <w:color w:val="004976"/>
          <w:sz w:val="23"/>
          <w:szCs w:val="23"/>
        </w:rPr>
        <w:t xml:space="preserve">Set and pursue goals </w:t>
      </w:r>
      <w:r>
        <w:rPr>
          <w:rFonts w:ascii="Lato" w:cs="Lato" w:eastAsia="Lato" w:hAnsi="Lato"/>
          <w:color w:val="97999B"/>
          <w:sz w:val="21"/>
          <w:szCs w:val="21"/>
        </w:rPr>
        <w:t xml:space="preserve">(FSL2, Foundational, Self-navigated Learning)</w:t>
      </w:r>
    </w:p>
    <w:p>
      <w:pPr>
        <w:spacing w:after="120" w:line="276"/>
      </w:pPr>
      <w:r>
        <w:rPr>
          <w:rFonts w:ascii="Lato" w:cs="Lato" w:eastAsia="Lato" w:hAnsi="Lato"/>
          <w:b w:val="false"/>
          <w:bCs w:val="false"/>
          <w:i w:val="false"/>
          <w:iCs w:val="false"/>
          <w:color w:val="041E42"/>
          <w:sz w:val="21"/>
          <w:szCs w:val="21"/>
        </w:rPr>
        <w:t xml:space="preserve">The goal named by the competency: the learner can establish clear objectives for learning and growth and take deliberate steps to make progress towards them. Every judgement below is made against this goal, using the generic proficiency scale.</w:t>
      </w: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The five cases</w:t>
      </w:r>
    </w:p>
    <w:p>
      <w:pPr>
        <w:spacing w:after="120" w:line="276"/>
      </w:pPr>
      <w:r>
        <w:rPr>
          <w:rFonts w:ascii="Lato" w:cs="Lato" w:eastAsia="Lato" w:hAnsi="Lato"/>
          <w:b w:val="false"/>
          <w:bCs w:val="false"/>
          <w:i w:val="false"/>
          <w:iCs w:val="false"/>
          <w:color w:val="041E42"/>
          <w:sz w:val="21"/>
          <w:szCs w:val="21"/>
        </w:rPr>
        <w:t xml:space="preserve">Each case opens with a short context, then the educator-facing evidence, then the trainer-only key. The context sets the situation only; it does not settle the level, and the signals that do still live in the evidence. In the finished bank the key is held separately from what the educator sees; both are shown together here so you can judge the calibration.</w:t>
      </w:r>
    </w:p>
    <w:p>
      <w:pPr>
        <w:spacing w:after="120" w:line="276"/>
      </w:pPr>
      <w:r>
        <w:rPr>
          <w:rFonts w:ascii="Lato" w:cs="Lato" w:eastAsia="Lato" w:hAnsi="Lato"/>
          <w:b w:val="false"/>
          <w:bCs w:val="false"/>
          <w:i w:val="false"/>
          <w:iCs w:val="false"/>
          <w:color w:val="041E42"/>
          <w:sz w:val="21"/>
          <w:szCs w:val="21"/>
        </w:rPr>
        <w:t xml:space="preserve">Two rules govern the reflective dimension at Reflective and Expert, and they carry to every competency in the bank. First, the reflection must be about the learner’s approach to achieving this competency’s goal, here how they set and pursued it, not general self-reflection and not reflection on the topic they happened to be working on. Second, that reflection can surface through any source, and the cases deliberately vary it: a conversation, a written reflection, something a learner says while presenting a project, a competency showcase, a performance. What matters is that the learner identifies strengths, weaknesses and improvements in their approach, not the form it arrives in.</w:t>
      </w:r>
    </w:p>
    <w:p>
      <w:pPr>
        <w:spacing w:after="120" w:line="276"/>
      </w:pPr>
      <w:r>
        <w:rPr>
          <w:rFonts w:ascii="Lato" w:cs="Lato" w:eastAsia="Lato" w:hAnsi="Lato"/>
          <w:b w:val="false"/>
          <w:bCs w:val="false"/>
          <w:i w:val="false"/>
          <w:iCs w:val="false"/>
          <w:color w:val="041E42"/>
          <w:sz w:val="21"/>
          <w:szCs w:val="21"/>
        </w:rPr>
        <w:t xml:space="preserve">A third rule governs how the evidence reads. It is written in the educator’s voice, as what the educator reviewed, saw and heard across sources over time: a plan they read, something they observed in class, a conversation they held, a peer’s remark. The number of sources varies from case to case, as it does in practice, and is not tied to the level; a lower-level case may carry more evidence than a higher one. The signals that decide the level, a rationale, an attempt, an achievement, evidenced reflection, are embedded in that account rather than labelled. The evidence never announces "here is the rationale"; recognising it is the assessment task, and where a case makes a signal too easy to spot it tests less than it should. The same holds for the reflective dimension: rather than stating that a reflection was backed by evidence, the cases show what the learner pointed to, and leave the educator to judge whether it holds.</w:t>
      </w:r>
    </w:p>
    <w:p>
      <w:pPr>
        <w:spacing w:after="120" w:line="276"/>
      </w:pPr>
      <w:r>
        <w:rPr>
          <w:rFonts w:ascii="Lato" w:cs="Lato" w:eastAsia="Lato" w:hAnsi="Lato"/>
          <w:b w:val="false"/>
          <w:bCs w:val="false"/>
          <w:i w:val="false"/>
          <w:iCs w:val="false"/>
          <w:color w:val="041E42"/>
          <w:sz w:val="21"/>
          <w:szCs w:val="21"/>
        </w:rPr>
        <w:t xml:space="preserve">A fourth point shapes what the evidence is about. The judgement is about the learner’s competence in setting and pursuing goals, drawn from what the educator has seen them do and achieve, sometimes across more than one situation and sometimes within a single piece of work where that is the natural frame. It is not the grading of a project. This shows in how the competency is probed, in conversation, in writing, or while presenting work: a learner may speak first about how a project went, but the assessable part is what they say about how they set and pursue goals, and it is that account which carries the reflection. One caution for calibration: the breadth of what the educator knows about a learner does not change the scale’s scenario counts. It is still one achieved-and-reflected scenario that marks Reflective, and two or more with improvement over time that mark Expert.</w:t>
      </w:r>
    </w:p>
    <w:p>
      <w:pPr>
        <w:spacing w:after="100" w:before="240"/>
      </w:pPr>
      <w:r>
        <w:rPr>
          <w:rFonts w:ascii="Roboto" w:cs="Roboto" w:eastAsia="Roboto" w:hAnsi="Roboto"/>
          <w:b/>
          <w:bCs/>
          <w:color w:val="004976"/>
          <w:sz w:val="25"/>
          <w:szCs w:val="25"/>
        </w:rPr>
        <w:t xml:space="preserve">Case FSL2-01  ·  No level awarded</w:t>
      </w:r>
    </w:p>
    <w:p>
      <w:pPr>
        <w:spacing w:after="120"/>
      </w:pPr>
      <w:r>
        <w:rPr>
          <w:rFonts w:ascii="Lato" w:cs="Lato" w:eastAsia="Lato" w:hAnsi="Lato"/>
          <w:i/>
          <w:iCs/>
          <w:color w:val="97999B"/>
          <w:sz w:val="21"/>
          <w:szCs w:val="21"/>
        </w:rPr>
        <w:t xml:space="preserve">Yusuf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Yusuf is a learner in Jordan. His educator is building a picture of how he sets and pursues goals for his own learning. The evidence below comes from a goal-setting activity and from conversations across the first few weeks of term.</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When the group did a goal-setting activity at the start of term, the educator reviewed what Yusuf produced. Against the objective he had written that he wanted to do better and be more successful; the steps section was left blank; and where the sheet asked how he would know he had made progress, he had written that it would be when things are good.</w:t>
      </w:r>
    </w:p>
    <w:p>
      <w:pPr>
        <w:spacing w:after="140" w:line="276"/>
      </w:pPr>
      <w:r>
        <w:rPr>
          <w:rFonts w:ascii="Lato" w:cs="Lato" w:eastAsia="Lato" w:hAnsi="Lato"/>
          <w:b w:val="false"/>
          <w:bCs w:val="false"/>
          <w:i w:val="false"/>
          <w:iCs w:val="false"/>
          <w:color w:val="041E42"/>
          <w:sz w:val="21"/>
          <w:szCs w:val="21"/>
        </w:rPr>
        <w:t xml:space="preserve">In conversation over the following weeks, the educator returned to the question more than once, asking Yusuf what he wanted to work towards and how he might go about it. He said he was not sure, maybe everything, and when asked what a first step might look like he said he would think about it. He could not name a goal he was pursuing or describe how he would pursue one; he said he just wanted to be better in class.</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setting or pursuing a goal. Across the goal-setting activity and the conversations that followed, Yusuf cannot name a clear objective or describe any step he would take towards one; "do better and be more successful" is an aspiration, not an objective with a rationale behind it.</w:t>
            </w:r>
          </w:p>
          <w:p>
            <w:pPr>
              <w:spacing w:after="100" w:line="276"/>
            </w:pPr>
            <w:r>
              <w:rPr>
                <w:rFonts w:ascii="Lato" w:cs="Lato" w:eastAsia="Lato" w:hAnsi="Lato"/>
                <w:color w:val="041E42"/>
                <w:sz w:val="21"/>
                <w:szCs w:val="21"/>
              </w:rPr>
              <w:t xml:space="preserve">Because there is no rationale for what he would do to achieve a goal in even one scenario, the evidence does not reach Theorist.</w:t>
            </w:r>
          </w:p>
          <w:p>
            <w:pPr>
              <w:spacing w:after="0" w:line="276"/>
            </w:pPr>
            <w:r>
              <w:rPr>
                <w:rFonts w:ascii="Lato" w:cs="Lato" w:eastAsia="Lato" w:hAnsi="Lato"/>
                <w:color w:val="041E42"/>
                <w:sz w:val="21"/>
                <w:szCs w:val="21"/>
              </w:rPr>
              <w:t xml:space="preserve">Watch here: a genuine wish to improve can tempt an award of Theorist out of encouragement. Wanting an outcome is not the same as having a rationale for how to pursue it.</w:t>
            </w:r>
          </w:p>
        </w:tc>
      </w:tr>
    </w:tbl>
    <w:p>
      <w:pPr>
        <w:spacing w:after="60"/>
      </w:pPr>
    </w:p>
    <w:p>
      <w:pPr>
        <w:spacing w:after="100" w:before="240"/>
      </w:pPr>
      <w:r>
        <w:rPr>
          <w:rFonts w:ascii="Roboto" w:cs="Roboto" w:eastAsia="Roboto" w:hAnsi="Roboto"/>
          <w:b/>
          <w:bCs/>
          <w:color w:val="004976"/>
          <w:sz w:val="25"/>
          <w:szCs w:val="25"/>
        </w:rPr>
        <w:t xml:space="preserve">Case FSL2-02  ·  Theorist</w:t>
      </w:r>
    </w:p>
    <w:p>
      <w:pPr>
        <w:spacing w:after="120"/>
      </w:pPr>
      <w:r>
        <w:rPr>
          <w:rFonts w:ascii="Lato" w:cs="Lato" w:eastAsia="Lato" w:hAnsi="Lato"/>
          <w:i/>
          <w:iCs/>
          <w:color w:val="97999B"/>
          <w:sz w:val="21"/>
          <w:szCs w:val="21"/>
        </w:rPr>
        <w:t xml:space="preserve">Amina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Amina is a learner in Kakuma, Kenya. Her educator has seen that she is a confident planner, and is assessing how she sets and pursues goals. One goal in view is her preparation for a showcase where she will pitch an enterprise idea in eight weeks.</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goal plan Amina drew up. In it she set a clear objective, to improve her spoken English so she could pitch confidently at the showcase in eight weeks, and set out the steps she would take: practise with a speaking partner twice a week, record herself weekly and listen back, and ask for feedback after each practice. She had written that speaking was her weakest area and that the pitch carries weight at the showcase, so this was where practice would make the most difference.</w:t>
      </w:r>
    </w:p>
    <w:p>
      <w:pPr>
        <w:spacing w:after="140" w:line="276"/>
      </w:pPr>
      <w:r>
        <w:rPr>
          <w:rFonts w:ascii="Lato" w:cs="Lato" w:eastAsia="Lato" w:hAnsi="Lato"/>
          <w:b w:val="false"/>
          <w:bCs w:val="false"/>
          <w:i w:val="false"/>
          <w:iCs w:val="false"/>
          <w:color w:val="041E42"/>
          <w:sz w:val="21"/>
          <w:szCs w:val="21"/>
        </w:rPr>
        <w:t xml:space="preserve">In conversation the educator asked Amina more broadly how she goes about setting and working towards her goals. She spoke fluently and with energy, describing how she breaks a goal into steps and why she sequences them as she does. She clearly understood what she intended to do.</w:t>
      </w:r>
    </w:p>
    <w:p>
      <w:pPr>
        <w:spacing w:after="140" w:line="276"/>
      </w:pPr>
      <w:r>
        <w:rPr>
          <w:rFonts w:ascii="Lato" w:cs="Lato" w:eastAsia="Lato" w:hAnsi="Lato"/>
          <w:b w:val="false"/>
          <w:bCs w:val="false"/>
          <w:i w:val="false"/>
          <w:iCs w:val="false"/>
          <w:color w:val="041E42"/>
          <w:sz w:val="21"/>
          <w:szCs w:val="21"/>
        </w:rPr>
        <w:t xml:space="preserve">Across the next few weeks, though, the educator saw no sign that Amina had begun any of it. She had not met her speaking partner and had made no recordings, and each time she said she had been meaning to start. Neither this goal nor others she described had moved past planning.</w:t>
      </w:r>
    </w:p>
    <w:p>
      <w:pPr>
        <w:spacing w:after="140" w:line="276"/>
      </w:pPr>
      <w:r>
        <w:rPr>
          <w:rFonts w:ascii="Lato" w:cs="Lato" w:eastAsia="Lato" w:hAnsi="Lato"/>
          <w:b w:val="false"/>
          <w:bCs w:val="false"/>
          <w:i w:val="false"/>
          <w:iCs w:val="false"/>
          <w:color w:val="041E42"/>
          <w:sz w:val="21"/>
          <w:szCs w:val="21"/>
        </w:rPr>
        <w:t xml:space="preserve">A peer mentioned in passing that Amina often talked about her plans but had not started practising with anyone.</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Amina has a clear objective and a sequence of steps, and a rationale for them: in her plan, and again in conversation, she explains why she would work as she does.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acted on none of the goals she planned, this one or others.</w:t>
            </w:r>
          </w:p>
          <w:p>
            <w:pPr>
              <w:spacing w:after="0" w:line="276"/>
            </w:pPr>
            <w:r>
              <w:rPr>
                <w:rFonts w:ascii="Lato" w:cs="Lato" w:eastAsia="Lato" w:hAnsi="Lato"/>
                <w:color w:val="041E42"/>
                <w:sz w:val="21"/>
                <w:szCs w:val="21"/>
              </w:rPr>
              <w:t xml:space="preserve">Watch here: the quality of the plan, and the sheer amount of evidence, can tempt an over-award to Practitioner. The credit threshold turns on an actual attempt, not on how well the learner plans or how much they talk about it.</w:t>
            </w:r>
          </w:p>
        </w:tc>
      </w:tr>
    </w:tbl>
    <w:p>
      <w:pPr>
        <w:spacing w:after="60"/>
      </w:pPr>
    </w:p>
    <w:p>
      <w:pPr>
        <w:spacing w:after="100" w:before="240"/>
      </w:pPr>
      <w:r>
        <w:rPr>
          <w:rFonts w:ascii="Roboto" w:cs="Roboto" w:eastAsia="Roboto" w:hAnsi="Roboto"/>
          <w:b/>
          <w:bCs/>
          <w:color w:val="004976"/>
          <w:sz w:val="25"/>
          <w:szCs w:val="25"/>
        </w:rPr>
        <w:t xml:space="preserve">Case FSL2-03  ·  Practitioner (credit awarded)</w:t>
      </w:r>
    </w:p>
    <w:p>
      <w:pPr>
        <w:spacing w:after="120"/>
      </w:pPr>
      <w:r>
        <w:rPr>
          <w:rFonts w:ascii="Lato" w:cs="Lato" w:eastAsia="Lato" w:hAnsi="Lato"/>
          <w:i/>
          <w:iCs/>
          <w:color w:val="97999B"/>
          <w:sz w:val="21"/>
          <w:szCs w:val="21"/>
        </w:rPr>
        <w:t xml:space="preserve">Nadia  ·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Nadia is a learner in Bangladesh. Her educator is assessing how she sets and pursues goals, drawing on what she has done recently, including work to improve part of her science project after an earlier draft lost marks.</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a goal Nadia had set herself: to strengthen the data analysis section of her science project after it lost marks. She had set out what she would do, attend the two tutoring sessions on data analysis, redo the analysis, and submit it for feedback, and had noted that the data handling was where she had lost marks, so it was the step most likely to raise the quality of the work.</w:t>
      </w:r>
    </w:p>
    <w:p>
      <w:pPr>
        <w:spacing w:after="140" w:line="276"/>
      </w:pPr>
      <w:r>
        <w:rPr>
          <w:rFonts w:ascii="Lato" w:cs="Lato" w:eastAsia="Lato" w:hAnsi="Lato"/>
          <w:b w:val="false"/>
          <w:bCs w:val="false"/>
          <w:i w:val="false"/>
          <w:iCs w:val="false"/>
          <w:color w:val="041E42"/>
          <w:sz w:val="21"/>
          <w:szCs w:val="21"/>
        </w:rPr>
        <w:t xml:space="preserve">The educator saw Nadia carry the plan out: she attended both sessions, took notes, reworked the section using what she had learned, and submitted it. She could explain why she had chosen each step.</w:t>
      </w:r>
    </w:p>
    <w:p>
      <w:pPr>
        <w:spacing w:after="140" w:line="276"/>
      </w:pPr>
      <w:r>
        <w:rPr>
          <w:rFonts w:ascii="Lato" w:cs="Lato" w:eastAsia="Lato" w:hAnsi="Lato"/>
          <w:b w:val="false"/>
          <w:bCs w:val="false"/>
          <w:i w:val="false"/>
          <w:iCs w:val="false"/>
          <w:color w:val="041E42"/>
          <w:sz w:val="21"/>
          <w:szCs w:val="21"/>
        </w:rPr>
        <w:t xml:space="preserve">In a review conversation, the educator began with how the work had gone and then turned to the competency itself, asking Nadia how she goes about setting and pursuing goals, what tends to work for her and what she would do differently in her approach. She could describe what she had done but not step back from it: she said she was not sure, she had just followed her plan, and named no strength or weakness in how she had gone about it. The revised work had not yet been marked.</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Nadia attempted the goal, taking the deliberate steps she planned, and can give a clear rationale for her actions. That meets Practitioner and awards credit.</w:t>
            </w:r>
          </w:p>
          <w:p>
            <w:pPr>
              <w:spacing w:after="100" w:line="276"/>
            </w:pPr>
            <w:r>
              <w:rPr>
                <w:rFonts w:ascii="Lato" w:cs="Lato" w:eastAsia="Lato" w:hAnsi="Lato"/>
                <w:color w:val="041E42"/>
                <w:sz w:val="21"/>
                <w:szCs w:val="21"/>
              </w:rPr>
              <w:t xml:space="preserve">She does not reach Reflective on two counts. There is no evidence yet that the goal was achieved: the revised work has not been marked. And when the educator turned the conversation to how she sets and pursues goals, she identified no strengths, weaknesses or improvements in her approach, so the reflective dimension is absent.</w:t>
            </w:r>
          </w:p>
          <w:p>
            <w:pPr>
              <w:spacing w:after="0" w:line="276"/>
            </w:pPr>
            <w:r>
              <w:rPr>
                <w:rFonts w:ascii="Lato" w:cs="Lato" w:eastAsia="Lato" w:hAnsi="Lato"/>
                <w:color w:val="041E42"/>
                <w:sz w:val="21"/>
                <w:szCs w:val="21"/>
              </w:rPr>
              <w:t xml:space="preserve">Watch here: "attended and resubmitted" can read as achievement and tempt an award of Reflective. Attempt is not achievement, and the reflective dimension is absent.</w:t>
            </w:r>
          </w:p>
        </w:tc>
      </w:tr>
    </w:tbl>
    <w:p>
      <w:pPr>
        <w:spacing w:after="60"/>
      </w:pPr>
    </w:p>
    <w:p>
      <w:pPr>
        <w:spacing w:after="100" w:before="240"/>
      </w:pPr>
      <w:r>
        <w:rPr>
          <w:rFonts w:ascii="Roboto" w:cs="Roboto" w:eastAsia="Roboto" w:hAnsi="Roboto"/>
          <w:b/>
          <w:bCs/>
          <w:color w:val="004976"/>
          <w:sz w:val="25"/>
          <w:szCs w:val="25"/>
        </w:rPr>
        <w:t xml:space="preserve">Case FSL2-04  ·  Reflective Practitioner</w:t>
      </w:r>
    </w:p>
    <w:p>
      <w:pPr>
        <w:spacing w:after="120"/>
      </w:pPr>
      <w:r>
        <w:rPr>
          <w:rFonts w:ascii="Lato" w:cs="Lato" w:eastAsia="Lato" w:hAnsi="Lato"/>
          <w:i/>
          <w:iCs/>
          <w:color w:val="97999B"/>
          <w:sz w:val="21"/>
          <w:szCs w:val="21"/>
        </w:rPr>
        <w:t xml:space="preserve">Sahar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Sahar is an online learner. Her educator is assessing how she sets and pursues goals. The clearest evidence is one goal she set and saw through this term: running the weekly study group for her cohort so that members took part.</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goal Sahar set: to run the weekly online study group so that members took part rather than only attended. She had planned her steps, prepare an agenda each week, assign a role to each member, follow up with anyone who went quiet, and had reasoned that participation drops when sessions are unstructured, so structure and clear roles should help.</w:t>
      </w:r>
    </w:p>
    <w:p>
      <w:pPr>
        <w:spacing w:after="140" w:line="276"/>
      </w:pPr>
      <w:r>
        <w:rPr>
          <w:rFonts w:ascii="Lato" w:cs="Lato" w:eastAsia="Lato" w:hAnsi="Lato"/>
          <w:b w:val="false"/>
          <w:bCs w:val="false"/>
          <w:i w:val="false"/>
          <w:iCs w:val="false"/>
          <w:color w:val="041E42"/>
          <w:sz w:val="21"/>
          <w:szCs w:val="21"/>
        </w:rPr>
        <w:t xml:space="preserve">The educator watched her carry it through across the term. Sahar ran the group each week, and over six weeks the number of members speaking rose from two or three to most of the group, with two who had never spoken beginning to lead parts of the discussion. Alongside this she kept her own week-by-week record of who contributed.</w:t>
      </w:r>
    </w:p>
    <w:p>
      <w:pPr>
        <w:spacing w:after="140" w:line="276"/>
      </w:pPr>
      <w:r>
        <w:rPr>
          <w:rFonts w:ascii="Lato" w:cs="Lato" w:eastAsia="Lato" w:hAnsi="Lato"/>
          <w:b w:val="false"/>
          <w:bCs w:val="false"/>
          <w:i w:val="false"/>
          <w:iCs w:val="false"/>
          <w:color w:val="041E42"/>
          <w:sz w:val="21"/>
          <w:szCs w:val="21"/>
        </w:rPr>
        <w:t xml:space="preserve">At a session where learners each presented a goal they had worked on that term, Sahar spoke as much about how she had gone about it as about the group itself. Defining what she wanted as each member speaking every week, rather than just attending, had let her see week to week whether it was working, and she showed the record where the names contributing spread from three to nine. She was also frank about what had not worked: she had set all her steps at the start and left no point to check partway, so she only noticed her first agenda was too full after two members had drifted away, and she said she would build in a mid-term check if she ran it again.</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Sahar achieved the goal in one scenario with a clear rationale, and the reflective dimension is present: presenting her work, she set out a strength, a weakness and a concrete improvement in how she set and pursued the goal, and grounded each in what actually happened, the spread from three contributors to nine and the two members lost after an over-full agenda, rather than asserting them. The reflection is about her goal-pursuit approach, not the group as a topic, and it reaches the educator through a presentation rather than a written self-reflection; both count. That meets Reflective Practitioner.</w:t>
            </w:r>
          </w:p>
          <w:p>
            <w:pPr>
              <w:spacing w:after="100" w:line="276"/>
            </w:pPr>
            <w:r>
              <w:rPr>
                <w:rFonts w:ascii="Lato" w:cs="Lato" w:eastAsia="Lato" w:hAnsi="Lato"/>
                <w:color w:val="041E42"/>
                <w:sz w:val="21"/>
                <w:szCs w:val="21"/>
              </w:rPr>
              <w:t xml:space="preserve">She does not reach Expert because the achievement sits in a single scenario, and she has not yet implemented her identified improvement in a second scenario over time.</w:t>
            </w:r>
          </w:p>
          <w:p>
            <w:pPr>
              <w:spacing w:after="0" w:line="276"/>
            </w:pPr>
            <w:r>
              <w:rPr>
                <w:rFonts w:ascii="Lato" w:cs="Lato" w:eastAsia="Lato" w:hAnsi="Lato"/>
                <w:color w:val="041E42"/>
                <w:sz w:val="21"/>
                <w:szCs w:val="21"/>
              </w:rPr>
              <w:t xml:space="preserve">Watch here: the richness of the reflection can tempt an Expert award. Expert requires two or more scenarios and improvement actually implemented and shown to work, neither of which is present yet.</w:t>
            </w:r>
          </w:p>
        </w:tc>
      </w:tr>
    </w:tbl>
    <w:p>
      <w:pPr>
        <w:spacing w:after="60"/>
      </w:pPr>
    </w:p>
    <w:p>
      <w:pPr>
        <w:spacing w:after="100" w:before="240"/>
      </w:pPr>
      <w:r>
        <w:rPr>
          <w:rFonts w:ascii="Roboto" w:cs="Roboto" w:eastAsia="Roboto" w:hAnsi="Roboto"/>
          <w:b/>
          <w:bCs/>
          <w:color w:val="004976"/>
          <w:sz w:val="25"/>
          <w:szCs w:val="25"/>
        </w:rPr>
        <w:t xml:space="preserve">Case FSL2-05  ·  Expert Practitioner</w:t>
      </w:r>
    </w:p>
    <w:p>
      <w:pPr>
        <w:spacing w:after="120"/>
      </w:pPr>
      <w:r>
        <w:rPr>
          <w:rFonts w:ascii="Lato" w:cs="Lato" w:eastAsia="Lato" w:hAnsi="Lato"/>
          <w:i/>
          <w:iCs/>
          <w:color w:val="97999B"/>
          <w:sz w:val="21"/>
          <w:szCs w:val="21"/>
        </w:rPr>
        <w:t xml:space="preserve">Mya  ·  Thailand</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Mya is a learner in Thailand. Her educator has seen her set and pursue goals in more than one situation across the year, and is assessing the competency across that fuller picture. Two clear instances are a neighbourhood clean-up and, later, a fundraising drive for the school library.</w:t>
      </w:r>
    </w:p>
    <w:p>
      <w:pPr>
        <w:spacing w:after="80" w:before="40"/>
      </w:pPr>
      <w:r>
        <w:rPr>
          <w:rFonts w:ascii="Roboto" w:cs="Roboto" w:eastAsia="Roboto" w:hAnsi="Roboto"/>
          <w:b/>
          <w:bCs/>
          <w:caps/>
          <w:color w:val="97999B"/>
          <w:sz w:val="21"/>
          <w:szCs w:val="21"/>
        </w:rPr>
        <w:t xml:space="preserve">Evidence (educator-facing)</w:t>
      </w:r>
    </w:p>
    <w:p>
      <w:pPr>
        <w:spacing w:after="140" w:line="276"/>
      </w:pPr>
      <w:r>
        <w:rPr>
          <w:rFonts w:ascii="Lato" w:cs="Lato" w:eastAsia="Lato" w:hAnsi="Lato"/>
          <w:b w:val="false"/>
          <w:bCs w:val="false"/>
          <w:i w:val="false"/>
          <w:iCs w:val="false"/>
          <w:color w:val="041E42"/>
          <w:sz w:val="21"/>
          <w:szCs w:val="21"/>
        </w:rPr>
        <w:t xml:space="preserve">The educator reviewed the goals Mya set in each. For the clean-up she wrote that she chose it because litter on the route to school was something she and her classmates kept raising; for the fundraiser, set later, she noted she wanted to fix a problem she had run into the first time. Each came with the steps she would take.</w:t>
      </w:r>
    </w:p>
    <w:p>
      <w:pPr>
        <w:spacing w:after="140" w:line="276"/>
      </w:pPr>
      <w:r>
        <w:rPr>
          <w:rFonts w:ascii="Lato" w:cs="Lato" w:eastAsia="Lato" w:hAnsi="Lato"/>
          <w:b w:val="false"/>
          <w:bCs w:val="false"/>
          <w:i w:val="false"/>
          <w:iCs w:val="false"/>
          <w:color w:val="041E42"/>
          <w:sz w:val="21"/>
          <w:szCs w:val="21"/>
        </w:rPr>
        <w:t xml:space="preserve">The educator knew the clean-up went ahead, drawing around fifteen participants and clearing the target area.</w:t>
      </w:r>
    </w:p>
    <w:p>
      <w:pPr>
        <w:spacing w:after="140" w:line="276"/>
      </w:pPr>
      <w:r>
        <w:rPr>
          <w:rFonts w:ascii="Lato" w:cs="Lato" w:eastAsia="Lato" w:hAnsi="Lato"/>
          <w:b w:val="false"/>
          <w:bCs w:val="false"/>
          <w:i w:val="false"/>
          <w:iCs w:val="false"/>
          <w:color w:val="041E42"/>
          <w:sz w:val="21"/>
          <w:szCs w:val="21"/>
        </w:rPr>
        <w:t xml:space="preserve">Later in the year the educator saw the fundraising drive meet its target within three weeks.</w:t>
      </w:r>
    </w:p>
    <w:p>
      <w:pPr>
        <w:spacing w:after="140" w:line="276"/>
      </w:pPr>
      <w:r>
        <w:rPr>
          <w:rFonts w:ascii="Lato" w:cs="Lato" w:eastAsia="Lato" w:hAnsi="Lato"/>
          <w:b w:val="false"/>
          <w:bCs w:val="false"/>
          <w:i w:val="false"/>
          <w:iCs w:val="false"/>
          <w:color w:val="041E42"/>
          <w:sz w:val="21"/>
          <w:szCs w:val="21"/>
        </w:rPr>
        <w:t xml:space="preserve">At an end-of-year showcase, Mya presented both efforts and talked through how her way of setting and pursuing goals had changed between them. For the clean-up, she said, she had left telling people until close to the day, and only about fifteen came, several of them saying they had heard only the day before. For the fundraiser she had planned the announcements first, starting two weeks ahead, and she showed how sign-ups came in steadily from the first days rather than in a last-minute rush. She was clear about what she had carried from the first effort into the second and why.</w:t>
      </w:r>
    </w:p>
    <w:p>
      <w:pPr>
        <w:spacing w:after="8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Mya achieved the goal in two distinct scenarios with a clear rationale, and the reflective dimension is present in both. She implemented an improvement carried from the first scenario to the second, planning her outreach earlier, and what she showed at the showcase, late and thin turnout the first time against steady early sign-ups the second, demonstrates the change worked. The improvement is to her goal-pursuit approach, which is what this competency assesses.</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scenario.</w:t>
            </w:r>
          </w:p>
        </w:tc>
      </w:tr>
    </w:tbl>
    <w:p>
      <w:pPr>
        <w:spacing w:after="60"/>
      </w:pPr>
    </w:p>
    <w:p>
      <w:pPr>
        <w:pBdr>
          <w:bottom w:val="single" w:color="8F993E" w:sz="6" w:space="4"/>
        </w:pBdr>
        <w:spacing w:after="100" w:before="260"/>
      </w:pPr>
      <w:r>
        <w:rPr>
          <w:rFonts w:ascii="Roboto" w:cs="Roboto" w:eastAsia="Roboto" w:hAnsi="Roboto"/>
          <w:b/>
          <w:bCs/>
          <w:color w:val="004976"/>
          <w:sz w:val="30"/>
          <w:szCs w:val="30"/>
        </w:rPr>
        <w:t xml:space="preserve">How to review this probe</w:t>
      </w:r>
    </w:p>
    <w:p>
      <w:pPr>
        <w:spacing w:after="0" w:line="276"/>
      </w:pPr>
      <w:r>
        <w:rPr>
          <w:rFonts w:ascii="Lato" w:cs="Lato" w:eastAsia="Lato" w:hAnsi="Lato"/>
          <w:b w:val="false"/>
          <w:bCs w:val="false"/>
          <w:i w:val="false"/>
          <w:iCs w:val="false"/>
          <w:color w:val="041E42"/>
          <w:sz w:val="21"/>
          <w:szCs w:val="21"/>
        </w:rPr>
        <w:t xml:space="preserve">For each case, cover the key, decide the level yourself from the evidence, then compare. Flag any case where you would award a different level, where the evidence feels too thin to defend the decision, or where it over-signals and makes the judgement too easy. Note especially whether the two near-miss tensions work: the Theorist and Practitioner boundary in cases 02 and 03, and the Reflective and Expert boundary in cases 04 and 05. If the ladder reads cleanly, the same construction scales to FSI1 and FLC2. If any rung is soft, it is cheaper to fix it here, in one competency, than across fifteen cases.</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calibration probe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calibration probe</dc:title>
  <dc:creator>Amala Education for Change</dc:creator>
  <cp:lastModifiedBy>Un-named</cp:lastModifiedBy>
  <cp:revision>1</cp:revision>
  <dcterms:created xsi:type="dcterms:W3CDTF">2026-07-31T05:16:22.110Z</dcterms:created>
  <dcterms:modified xsi:type="dcterms:W3CDTF">2026-07-31T05:16:22.139Z</dcterms:modified>
</cp:coreProperties>
</file>

<file path=docProps/custom.xml><?xml version="1.0" encoding="utf-8"?>
<Properties xmlns="http://schemas.openxmlformats.org/officeDocument/2006/custom-properties" xmlns:vt="http://schemas.openxmlformats.org/officeDocument/2006/docPropsVTypes"/>
</file>