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Roboto" w:cs="Roboto" w:eastAsia="Roboto" w:hAnsi="Roboto"/>
          <w:b/>
          <w:bCs/>
          <w:color w:val="004976"/>
          <w:sz w:val="40"/>
          <w:szCs w:val="40"/>
        </w:rPr>
        <w:t xml:space="preserve">Conducting Assessments of Competence</w:t>
      </w:r>
    </w:p>
    <w:p>
      <w:pPr>
        <w:spacing w:after="40"/>
      </w:pPr>
      <w:r>
        <w:rPr>
          <w:rFonts w:ascii="Roboto" w:cs="Roboto" w:eastAsia="Roboto" w:hAnsi="Roboto"/>
          <w:b/>
          <w:bCs/>
          <w:color w:val="8F993E"/>
          <w:sz w:val="26"/>
          <w:szCs w:val="26"/>
        </w:rPr>
        <w:t xml:space="preserve">Case bank  ·  Educator edition</w:t>
      </w:r>
    </w:p>
    <w:p>
      <w:pPr>
        <w:spacing w:after="200"/>
      </w:pPr>
      <w:r>
        <w:rPr>
          <w:rFonts w:ascii="Lato" w:cs="Lato" w:eastAsia="Lato" w:hAnsi="Lato"/>
          <w:i/>
          <w:iCs/>
          <w:color w:val="97999B"/>
          <w:sz w:val="21"/>
          <w:szCs w:val="21"/>
        </w:rPr>
        <w:t xml:space="preserve">Programme-agnostic. About judging competence against the proficiency scale, not the administration of any one programme.</w:t>
      </w:r>
    </w:p>
    <w:tbl>
      <w:tblPr>
        <w:tblW w:type="dxa" w:w="9506"/>
        <w:tblBorders>
          <w:top w:val="none"/>
          <w:left w:val="none"/>
          <w:bottom w:val="none"/>
          <w:right w:val="none"/>
          <w:insideH w:val="none"/>
          <w:insideV w:val="none"/>
        </w:tblBorders>
      </w:tblPr>
      <w:tblGrid>
        <w:gridCol w:w="9506"/>
      </w:tblGrid>
      <w:tr>
        <w:tc>
          <w:tcPr>
            <w:tcW w:type="dxa" w:w="9506"/>
            <w:shd w:fill="E4ECF2" w:val="clear"/>
            <w:tcMar>
              <w:top w:type="dxa" w:w="140"/>
              <w:left w:type="dxa" w:w="200"/>
              <w:bottom w:type="dxa" w:w="140"/>
              <w:right w:type="dxa" w:w="200"/>
            </w:tcMar>
          </w:tcPr>
          <w:p>
            <w:pPr>
              <w:spacing w:after="100" w:line="276"/>
            </w:pPr>
            <w:r>
              <w:rPr>
                <w:rFonts w:ascii="Lato" w:cs="Lato" w:eastAsia="Lato" w:hAnsi="Lato"/>
                <w:b w:val="false"/>
                <w:bCs w:val="false"/>
                <w:i w:val="false"/>
                <w:iCs w:val="false"/>
                <w:color w:val="041E42"/>
                <w:sz w:val="21"/>
                <w:szCs w:val="21"/>
              </w:rPr>
              <w:t xml:space="preserve">This is the educator edition of the case bank: fifteen learner cases across three competencies. For each case, read the context and the evidence, decide which level of the proficiency scale the evidence supports, and note your reasoning in the space provided.</w:t>
            </w:r>
          </w:p>
          <w:p>
            <w:pPr>
              <w:spacing w:after="0" w:line="276"/>
            </w:pPr>
            <w:r>
              <w:rPr>
                <w:rFonts w:ascii="Lato" w:cs="Lato" w:eastAsia="Lato" w:hAnsi="Lato"/>
                <w:b w:val="false"/>
                <w:bCs w:val="false"/>
                <w:i w:val="false"/>
                <w:iCs w:val="false"/>
                <w:color w:val="041E42"/>
                <w:sz w:val="21"/>
                <w:szCs w:val="21"/>
              </w:rPr>
              <w:t xml:space="preserve">Judge each case on its own evidence before looking at any decision. The moderated decisions are in a separate edition, for checking once you have made your own judgement.</w:t>
            </w:r>
          </w:p>
        </w:tc>
      </w:tr>
    </w:tbl>
    <w:p>
      <w:pPr>
        <w:spacing w:after="140"/>
      </w:pPr>
    </w:p>
    <w:p>
      <w:pPr>
        <w:pBdr>
          <w:bottom w:val="single" w:color="8F993E" w:sz="6" w:space="4"/>
        </w:pBdr>
        <w:spacing w:after="100" w:before="260"/>
      </w:pPr>
      <w:r>
        <w:rPr>
          <w:rFonts w:ascii="Roboto" w:cs="Roboto" w:eastAsia="Roboto" w:hAnsi="Roboto"/>
          <w:b/>
          <w:bCs/>
          <w:color w:val="004976"/>
          <w:sz w:val="30"/>
          <w:szCs w:val="30"/>
        </w:rPr>
        <w:t xml:space="preserve">The proficiency scale</w:t>
      </w:r>
    </w:p>
    <w:p>
      <w:pPr>
        <w:spacing w:after="140" w:line="276"/>
      </w:pPr>
      <w:r>
        <w:rPr>
          <w:rFonts w:ascii="Lato" w:cs="Lato" w:eastAsia="Lato" w:hAnsi="Lato"/>
          <w:b w:val="false"/>
          <w:bCs w:val="false"/>
          <w:i w:val="false"/>
          <w:iCs w:val="false"/>
          <w:color w:val="041E42"/>
          <w:sz w:val="21"/>
          <w:szCs w:val="21"/>
        </w:rPr>
        <w:t xml:space="preserve">The scale is generic: one ladder, applied to any competency by reading its descriptors against the goal that competency names. Credit begins at Practitioner.</w:t>
      </w:r>
    </w:p>
    <w:tbl>
      <w:tblPr>
        <w:tblW w:type="dxa" w:w="9506"/>
        <w:tblBorders>
          <w:top w:val="single" w:color="97999B" w:sz="4"/>
          <w:left w:val="single" w:color="97999B" w:sz="4"/>
          <w:bottom w:val="single" w:color="97999B" w:sz="4"/>
          <w:right w:val="single" w:color="97999B" w:sz="4"/>
          <w:insideH w:val="single" w:color="97999B" w:sz="4"/>
          <w:insideV w:val="single" w:color="97999B" w:sz="4"/>
        </w:tblBorders>
      </w:tblPr>
      <w:tblGrid>
        <w:gridCol w:w="2200"/>
        <w:gridCol w:w="1000"/>
        <w:gridCol w:w="6306"/>
      </w:tblGrid>
      <w:tr>
        <w:tc>
          <w:tcPr>
            <w:tcW w:type="dxa" w:w="2200"/>
            <w:shd w:fill="004976" w:val="clear"/>
            <w:tcMar>
              <w:top w:type="dxa" w:w="80"/>
              <w:left w:type="dxa" w:w="120"/>
              <w:bottom w:type="dxa" w:w="80"/>
              <w:right w:type="dxa" w:w="120"/>
            </w:tcMar>
          </w:tcPr>
          <w:p>
            <w:r>
              <w:rPr>
                <w:rFonts w:ascii="Roboto" w:cs="Roboto" w:eastAsia="Roboto" w:hAnsi="Roboto"/>
                <w:b/>
                <w:bCs/>
                <w:color w:val="FFFFFF"/>
                <w:sz w:val="20"/>
                <w:szCs w:val="20"/>
              </w:rPr>
              <w:t xml:space="preserve">Level</w:t>
            </w:r>
          </w:p>
        </w:tc>
        <w:tc>
          <w:tcPr>
            <w:tcW w:type="dxa" w:w="1000"/>
            <w:shd w:fill="004976" w:val="clear"/>
            <w:tcMar>
              <w:top w:type="dxa" w:w="80"/>
              <w:left w:type="dxa" w:w="120"/>
              <w:bottom w:type="dxa" w:w="80"/>
              <w:right w:type="dxa" w:w="120"/>
            </w:tcMar>
          </w:tcPr>
          <w:p>
            <w:pPr>
              <w:jc w:val="center"/>
            </w:pPr>
            <w:r>
              <w:rPr>
                <w:rFonts w:ascii="Roboto" w:cs="Roboto" w:eastAsia="Roboto" w:hAnsi="Roboto"/>
                <w:b/>
                <w:bCs/>
                <w:color w:val="FFFFFF"/>
                <w:sz w:val="20"/>
                <w:szCs w:val="20"/>
              </w:rPr>
              <w:t xml:space="preserve">GPA</w:t>
            </w:r>
          </w:p>
        </w:tc>
        <w:tc>
          <w:tcPr>
            <w:tcW w:type="dxa" w:w="6306"/>
            <w:shd w:fill="004976" w:val="clear"/>
            <w:tcMar>
              <w:top w:type="dxa" w:w="80"/>
              <w:left w:type="dxa" w:w="120"/>
              <w:bottom w:type="dxa" w:w="80"/>
              <w:right w:type="dxa" w:w="120"/>
            </w:tcMar>
          </w:tcPr>
          <w:p>
            <w:pPr>
              <w:spacing w:after="0" w:line="264"/>
            </w:pPr>
            <w:r>
              <w:rPr>
                <w:rFonts w:ascii="Roboto" w:cs="Roboto" w:eastAsia="Roboto" w:hAnsi="Roboto"/>
                <w:b/>
                <w:bCs/>
                <w:color w:val="FFFFFF"/>
                <w:sz w:val="20"/>
                <w:szCs w:val="20"/>
              </w:rPr>
              <w:t xml:space="preserve">What the evidence must show (the generic descriptor, applied to the goal named by the competency)</w:t>
            </w:r>
          </w:p>
        </w:tc>
      </w:tr>
      <w:tr>
        <w:tc>
          <w:tcPr>
            <w:tcW w:type="dxa" w:w="2200"/>
            <w:shd w:fill="FFFFFF" w:val="clear"/>
            <w:tcMar>
              <w:top w:type="dxa" w:w="80"/>
              <w:left w:type="dxa" w:w="120"/>
              <w:bottom w:type="dxa" w:w="80"/>
              <w:right w:type="dxa" w:w="120"/>
            </w:tcMar>
          </w:tcPr>
          <w:p>
            <w:r>
              <w:rPr>
                <w:rFonts w:ascii="Roboto" w:cs="Roboto" w:eastAsia="Roboto" w:hAnsi="Roboto"/>
                <w:b/>
                <w:bCs/>
                <w:color w:val="041E42"/>
                <w:sz w:val="20"/>
                <w:szCs w:val="20"/>
              </w:rPr>
              <w:t xml:space="preserve">No level awarded</w:t>
            </w:r>
          </w:p>
        </w:tc>
        <w:tc>
          <w:tcPr>
            <w:tcW w:type="dxa" w:w="1000"/>
            <w:shd w:fill="FFFFFF" w:val="clear"/>
            <w:tcMar>
              <w:top w:type="dxa" w:w="80"/>
              <w:left w:type="dxa" w:w="120"/>
              <w:bottom w:type="dxa" w:w="80"/>
              <w:right w:type="dxa" w:w="120"/>
            </w:tcMar>
          </w:tcPr>
          <w:p>
            <w:pPr>
              <w:jc w:val="center"/>
            </w:pPr>
            <w:r>
              <w:rPr>
                <w:rFonts w:ascii="Roboto" w:cs="Roboto" w:eastAsia="Roboto" w:hAnsi="Roboto"/>
                <w:color w:val="041E42"/>
                <w:sz w:val="20"/>
                <w:szCs w:val="20"/>
              </w:rPr>
              <w:t xml:space="preserve">0</w:t>
            </w:r>
          </w:p>
        </w:tc>
        <w:tc>
          <w:tcPr>
            <w:tcW w:type="dxa" w:w="6306"/>
            <w:shd w:fill="FFFFFF" w:val="clear"/>
            <w:tcMar>
              <w:top w:type="dxa" w:w="80"/>
              <w:left w:type="dxa" w:w="120"/>
              <w:bottom w:type="dxa" w:w="80"/>
              <w:right w:type="dxa" w:w="120"/>
            </w:tcMar>
          </w:tcPr>
          <w:p>
            <w:pPr>
              <w:spacing w:after="0" w:line="264"/>
            </w:pPr>
            <w:r>
              <w:rPr>
                <w:rFonts w:ascii="Lato" w:cs="Lato" w:eastAsia="Lato" w:hAnsi="Lato"/>
                <w:b w:val="false"/>
                <w:bCs w:val="false"/>
                <w:color w:val="041E42"/>
                <w:sz w:val="20"/>
                <w:szCs w:val="20"/>
              </w:rPr>
              <w:t xml:space="preserve">Does not have a rationale for what they would do to achieve the goal in at least one scenario.</w:t>
            </w:r>
          </w:p>
        </w:tc>
      </w:tr>
      <w:tr>
        <w:tc>
          <w:tcPr>
            <w:tcW w:type="dxa" w:w="2200"/>
            <w:shd w:fill="FFFFFF" w:val="clear"/>
            <w:tcMar>
              <w:top w:type="dxa" w:w="80"/>
              <w:left w:type="dxa" w:w="120"/>
              <w:bottom w:type="dxa" w:w="80"/>
              <w:right w:type="dxa" w:w="120"/>
            </w:tcMar>
          </w:tcPr>
          <w:p>
            <w:r>
              <w:rPr>
                <w:rFonts w:ascii="Roboto" w:cs="Roboto" w:eastAsia="Roboto" w:hAnsi="Roboto"/>
                <w:b/>
                <w:bCs/>
                <w:color w:val="041E42"/>
                <w:sz w:val="20"/>
                <w:szCs w:val="20"/>
              </w:rPr>
              <w:t xml:space="preserve">Theorist</w:t>
            </w:r>
          </w:p>
        </w:tc>
        <w:tc>
          <w:tcPr>
            <w:tcW w:type="dxa" w:w="1000"/>
            <w:shd w:fill="FFFFFF" w:val="clear"/>
            <w:tcMar>
              <w:top w:type="dxa" w:w="80"/>
              <w:left w:type="dxa" w:w="120"/>
              <w:bottom w:type="dxa" w:w="80"/>
              <w:right w:type="dxa" w:w="120"/>
            </w:tcMar>
          </w:tcPr>
          <w:p>
            <w:pPr>
              <w:jc w:val="center"/>
            </w:pPr>
            <w:r>
              <w:rPr>
                <w:rFonts w:ascii="Roboto" w:cs="Roboto" w:eastAsia="Roboto" w:hAnsi="Roboto"/>
                <w:color w:val="041E42"/>
                <w:sz w:val="20"/>
                <w:szCs w:val="20"/>
              </w:rPr>
              <w:t xml:space="preserve">2</w:t>
            </w:r>
          </w:p>
        </w:tc>
        <w:tc>
          <w:tcPr>
            <w:tcW w:type="dxa" w:w="6306"/>
            <w:shd w:fill="FFFFFF" w:val="clear"/>
            <w:tcMar>
              <w:top w:type="dxa" w:w="80"/>
              <w:left w:type="dxa" w:w="120"/>
              <w:bottom w:type="dxa" w:w="80"/>
              <w:right w:type="dxa" w:w="120"/>
            </w:tcMar>
          </w:tcPr>
          <w:p>
            <w:pPr>
              <w:spacing w:after="0" w:line="264"/>
            </w:pPr>
            <w:r>
              <w:rPr>
                <w:rFonts w:ascii="Lato" w:cs="Lato" w:eastAsia="Lato" w:hAnsi="Lato"/>
                <w:b w:val="false"/>
                <w:bCs w:val="false"/>
                <w:color w:val="041E42"/>
                <w:sz w:val="20"/>
                <w:szCs w:val="20"/>
              </w:rPr>
              <w:t xml:space="preserve">Has a rationale for what they would do to achieve the goal in at least one scenario.</w:t>
            </w:r>
          </w:p>
        </w:tc>
      </w:tr>
      <w:tr>
        <w:tc>
          <w:tcPr>
            <w:tcW w:type="dxa" w:w="2200"/>
            <w:shd w:fill="EDF0DE" w:val="clear"/>
            <w:tcMar>
              <w:top w:type="dxa" w:w="80"/>
              <w:left w:type="dxa" w:w="120"/>
              <w:bottom w:type="dxa" w:w="80"/>
              <w:right w:type="dxa" w:w="120"/>
            </w:tcMar>
          </w:tcPr>
          <w:p>
            <w:r>
              <w:rPr>
                <w:rFonts w:ascii="Roboto" w:cs="Roboto" w:eastAsia="Roboto" w:hAnsi="Roboto"/>
                <w:b/>
                <w:bCs/>
                <w:color w:val="041E42"/>
                <w:sz w:val="20"/>
                <w:szCs w:val="20"/>
              </w:rPr>
              <w:t xml:space="preserve">Practitioner (credit awarded)</w:t>
            </w:r>
          </w:p>
        </w:tc>
        <w:tc>
          <w:tcPr>
            <w:tcW w:type="dxa" w:w="1000"/>
            <w:shd w:fill="EDF0DE" w:val="clear"/>
            <w:tcMar>
              <w:top w:type="dxa" w:w="80"/>
              <w:left w:type="dxa" w:w="120"/>
              <w:bottom w:type="dxa" w:w="80"/>
              <w:right w:type="dxa" w:w="120"/>
            </w:tcMar>
          </w:tcPr>
          <w:p>
            <w:pPr>
              <w:jc w:val="center"/>
            </w:pPr>
            <w:r>
              <w:rPr>
                <w:rFonts w:ascii="Roboto" w:cs="Roboto" w:eastAsia="Roboto" w:hAnsi="Roboto"/>
                <w:color w:val="041E42"/>
                <w:sz w:val="20"/>
                <w:szCs w:val="20"/>
              </w:rPr>
              <w:t xml:space="preserve">3</w:t>
            </w:r>
          </w:p>
        </w:tc>
        <w:tc>
          <w:tcPr>
            <w:tcW w:type="dxa" w:w="6306"/>
            <w:shd w:fill="EDF0DE" w:val="clear"/>
            <w:tcMar>
              <w:top w:type="dxa" w:w="80"/>
              <w:left w:type="dxa" w:w="120"/>
              <w:bottom w:type="dxa" w:w="80"/>
              <w:right w:type="dxa" w:w="120"/>
            </w:tcMar>
          </w:tcPr>
          <w:p>
            <w:pPr>
              <w:spacing w:after="0" w:line="264"/>
            </w:pPr>
            <w:r>
              <w:rPr>
                <w:rFonts w:ascii="Lato" w:cs="Lato" w:eastAsia="Lato" w:hAnsi="Lato"/>
                <w:b w:val="false"/>
                <w:bCs w:val="false"/>
                <w:color w:val="041E42"/>
                <w:sz w:val="20"/>
                <w:szCs w:val="20"/>
              </w:rPr>
              <w:t xml:space="preserve">Has attempted to achieve the goal in at least one scenario and has a clear rationale for their actions.</w:t>
            </w:r>
          </w:p>
        </w:tc>
      </w:tr>
      <w:tr>
        <w:tc>
          <w:tcPr>
            <w:tcW w:type="dxa" w:w="2200"/>
            <w:shd w:fill="FFFFFF" w:val="clear"/>
            <w:tcMar>
              <w:top w:type="dxa" w:w="80"/>
              <w:left w:type="dxa" w:w="120"/>
              <w:bottom w:type="dxa" w:w="80"/>
              <w:right w:type="dxa" w:w="120"/>
            </w:tcMar>
          </w:tcPr>
          <w:p>
            <w:r>
              <w:rPr>
                <w:rFonts w:ascii="Roboto" w:cs="Roboto" w:eastAsia="Roboto" w:hAnsi="Roboto"/>
                <w:b/>
                <w:bCs/>
                <w:color w:val="041E42"/>
                <w:sz w:val="20"/>
                <w:szCs w:val="20"/>
              </w:rPr>
              <w:t xml:space="preserve">Reflective Practitioner</w:t>
            </w:r>
          </w:p>
        </w:tc>
        <w:tc>
          <w:tcPr>
            <w:tcW w:type="dxa" w:w="1000"/>
            <w:shd w:fill="FFFFFF" w:val="clear"/>
            <w:tcMar>
              <w:top w:type="dxa" w:w="80"/>
              <w:left w:type="dxa" w:w="120"/>
              <w:bottom w:type="dxa" w:w="80"/>
              <w:right w:type="dxa" w:w="120"/>
            </w:tcMar>
          </w:tcPr>
          <w:p>
            <w:pPr>
              <w:jc w:val="center"/>
            </w:pPr>
            <w:r>
              <w:rPr>
                <w:rFonts w:ascii="Roboto" w:cs="Roboto" w:eastAsia="Roboto" w:hAnsi="Roboto"/>
                <w:color w:val="041E42"/>
                <w:sz w:val="20"/>
                <w:szCs w:val="20"/>
              </w:rPr>
              <w:t xml:space="preserve">3.5</w:t>
            </w:r>
          </w:p>
        </w:tc>
        <w:tc>
          <w:tcPr>
            <w:tcW w:type="dxa" w:w="6306"/>
            <w:shd w:fill="FFFFFF" w:val="clear"/>
            <w:tcMar>
              <w:top w:type="dxa" w:w="80"/>
              <w:left w:type="dxa" w:w="120"/>
              <w:bottom w:type="dxa" w:w="80"/>
              <w:right w:type="dxa" w:w="120"/>
            </w:tcMar>
          </w:tcPr>
          <w:p>
            <w:pPr>
              <w:spacing w:after="60" w:line="264"/>
            </w:pPr>
            <w:r>
              <w:rPr>
                <w:rFonts w:ascii="Lato" w:cs="Lato" w:eastAsia="Lato" w:hAnsi="Lato"/>
                <w:b w:val="false"/>
                <w:bCs w:val="false"/>
                <w:color w:val="041E42"/>
                <w:sz w:val="20"/>
                <w:szCs w:val="20"/>
              </w:rPr>
              <w:t xml:space="preserve">Has achieved the goal in at least one scenario, with a clear rationale; and</w:t>
            </w:r>
          </w:p>
          <w:p>
            <w:pPr>
              <w:spacing w:after="0" w:line="264"/>
            </w:pPr>
            <w:r>
              <w:rPr>
                <w:rFonts w:ascii="Lato" w:cs="Lato" w:eastAsia="Lato" w:hAnsi="Lato"/>
                <w:b w:val="false"/>
                <w:bCs w:val="false"/>
                <w:color w:val="041E42"/>
                <w:sz w:val="20"/>
                <w:szCs w:val="20"/>
              </w:rPr>
              <w:t xml:space="preserve">Has identified strengths, weaknesses and improvements in their approach in at least one scenario, supporting their claims with evidence.</w:t>
            </w:r>
          </w:p>
        </w:tc>
      </w:tr>
      <w:tr>
        <w:tc>
          <w:tcPr>
            <w:tcW w:type="dxa" w:w="2200"/>
            <w:shd w:fill="FFFFFF" w:val="clear"/>
            <w:tcMar>
              <w:top w:type="dxa" w:w="80"/>
              <w:left w:type="dxa" w:w="120"/>
              <w:bottom w:type="dxa" w:w="80"/>
              <w:right w:type="dxa" w:w="120"/>
            </w:tcMar>
          </w:tcPr>
          <w:p>
            <w:r>
              <w:rPr>
                <w:rFonts w:ascii="Roboto" w:cs="Roboto" w:eastAsia="Roboto" w:hAnsi="Roboto"/>
                <w:b/>
                <w:bCs/>
                <w:color w:val="041E42"/>
                <w:sz w:val="20"/>
                <w:szCs w:val="20"/>
              </w:rPr>
              <w:t xml:space="preserve">Expert Practitioner</w:t>
            </w:r>
          </w:p>
        </w:tc>
        <w:tc>
          <w:tcPr>
            <w:tcW w:type="dxa" w:w="1000"/>
            <w:shd w:fill="FFFFFF" w:val="clear"/>
            <w:tcMar>
              <w:top w:type="dxa" w:w="80"/>
              <w:left w:type="dxa" w:w="120"/>
              <w:bottom w:type="dxa" w:w="80"/>
              <w:right w:type="dxa" w:w="120"/>
            </w:tcMar>
          </w:tcPr>
          <w:p>
            <w:pPr>
              <w:jc w:val="center"/>
            </w:pPr>
            <w:r>
              <w:rPr>
                <w:rFonts w:ascii="Roboto" w:cs="Roboto" w:eastAsia="Roboto" w:hAnsi="Roboto"/>
                <w:color w:val="041E42"/>
                <w:sz w:val="20"/>
                <w:szCs w:val="20"/>
              </w:rPr>
              <w:t xml:space="preserve">4</w:t>
            </w:r>
          </w:p>
        </w:tc>
        <w:tc>
          <w:tcPr>
            <w:tcW w:type="dxa" w:w="6306"/>
            <w:shd w:fill="FFFFFF" w:val="clear"/>
            <w:tcMar>
              <w:top w:type="dxa" w:w="80"/>
              <w:left w:type="dxa" w:w="120"/>
              <w:bottom w:type="dxa" w:w="80"/>
              <w:right w:type="dxa" w:w="120"/>
            </w:tcMar>
          </w:tcPr>
          <w:p>
            <w:pPr>
              <w:spacing w:after="60" w:line="264"/>
            </w:pPr>
            <w:r>
              <w:rPr>
                <w:rFonts w:ascii="Lato" w:cs="Lato" w:eastAsia="Lato" w:hAnsi="Lato"/>
                <w:b w:val="false"/>
                <w:bCs w:val="false"/>
                <w:color w:val="041E42"/>
                <w:sz w:val="20"/>
                <w:szCs w:val="20"/>
              </w:rPr>
              <w:t xml:space="preserve">Has achieved the goal in two or more scenarios, with a clear rationale;</w:t>
            </w:r>
          </w:p>
          <w:p>
            <w:pPr>
              <w:spacing w:after="60" w:line="264"/>
            </w:pPr>
            <w:r>
              <w:rPr>
                <w:rFonts w:ascii="Lato" w:cs="Lato" w:eastAsia="Lato" w:hAnsi="Lato"/>
                <w:b w:val="false"/>
                <w:bCs w:val="false"/>
                <w:color w:val="041E42"/>
                <w:sz w:val="20"/>
                <w:szCs w:val="20"/>
              </w:rPr>
              <w:t xml:space="preserve">Has identified strengths, weaknesses and improvements in two or more scenarios, supported with evidence; and</w:t>
            </w:r>
          </w:p>
          <w:p>
            <w:pPr>
              <w:spacing w:after="0" w:line="264"/>
            </w:pPr>
            <w:r>
              <w:rPr>
                <w:rFonts w:ascii="Lato" w:cs="Lato" w:eastAsia="Lato" w:hAnsi="Lato"/>
                <w:b w:val="false"/>
                <w:bCs w:val="false"/>
                <w:color w:val="041E42"/>
                <w:sz w:val="20"/>
                <w:szCs w:val="20"/>
              </w:rPr>
              <w:t xml:space="preserve">Has implemented improvements in their approach, demonstrating growth over time.</w:t>
            </w:r>
          </w:p>
        </w:tc>
      </w:tr>
    </w:tbl>
    <w:p>
      <w:pPr>
        <w:spacing w:after="60"/>
      </w:pPr>
    </w:p>
    <w:p>
      <w:pPr>
        <w:spacing w:after="60" w:line="276"/>
      </w:pPr>
      <w:r>
        <w:rPr>
          <w:rFonts w:ascii="Lato" w:cs="Lato" w:eastAsia="Lato" w:hAnsi="Lato"/>
          <w:b w:val="false"/>
          <w:bCs w:val="false"/>
          <w:i w:val="false"/>
          <w:iCs w:val="false"/>
          <w:color w:val="041E42"/>
          <w:sz w:val="21"/>
          <w:szCs w:val="21"/>
        </w:rPr>
        <w:t xml:space="preserve">What changes between adjacent levels, in one line each: No Level to Theorist, a rationale appears; Theorist to Practitioner, an attempt is made (this is the credit line); Practitioner to Reflective, the attempt achieves the goal and is joined by evidenced reflection; Reflective to Expert, achievement and reflection recur across two or more scenarios and an improvement is implemented over time.</w:t>
      </w:r>
    </w:p>
    <w:p>
      <w:pPr>
        <w:pBdr>
          <w:bottom w:val="single" w:color="8F993E" w:sz="6" w:space="4"/>
        </w:pBdr>
        <w:spacing w:after="100" w:before="260"/>
      </w:pPr>
      <w:r>
        <w:rPr>
          <w:rFonts w:ascii="Roboto" w:cs="Roboto" w:eastAsia="Roboto" w:hAnsi="Roboto"/>
          <w:b/>
          <w:bCs/>
          <w:color w:val="004976"/>
          <w:sz w:val="30"/>
          <w:szCs w:val="30"/>
        </w:rPr>
        <w:t xml:space="preserve">How to use these cases</w:t>
      </w:r>
    </w:p>
    <w:p>
      <w:pPr>
        <w:spacing w:after="60" w:line="276"/>
      </w:pPr>
      <w:r>
        <w:rPr>
          <w:rFonts w:ascii="Lato" w:cs="Lato" w:eastAsia="Lato" w:hAnsi="Lato"/>
          <w:b w:val="false"/>
          <w:bCs w:val="false"/>
          <w:i w:val="false"/>
          <w:iCs w:val="false"/>
          <w:color w:val="041E42"/>
          <w:sz w:val="21"/>
          <w:szCs w:val="21"/>
        </w:rPr>
        <w:t xml:space="preserve">Work through each case in turn. Read the context, then the evidence, which is written as what the educator saw, read and heard. Decide which single level of the scale the evidence supports, and write down why, pointing to what in the evidence carries your decision. Remember the evidence does not label its own signals: you have to find the rationale, the attempt, the achievement and the reflection for yourself. When you have judged every case, check your decisions against the moderated edition.</w:t>
      </w:r>
    </w:p>
    <w:p>
      <w:pPr>
        <w:pBdr>
          <w:bottom w:val="single" w:color="8F993E" w:sz="6" w:space="4"/>
        </w:pBdr>
        <w:spacing w:after="100" w:before="260"/>
      </w:pPr>
      <w:r>
        <w:rPr>
          <w:rFonts w:ascii="Roboto" w:cs="Roboto" w:eastAsia="Roboto" w:hAnsi="Roboto"/>
          <w:b/>
          <w:bCs/>
          <w:color w:val="004976"/>
          <w:sz w:val="30"/>
          <w:szCs w:val="30"/>
        </w:rPr>
        <w:t xml:space="preserve">Set and pursue goals</w:t>
      </w:r>
    </w:p>
    <w:p>
      <w:pPr>
        <w:spacing w:after="60"/>
      </w:pPr>
      <w:r>
        <w:rPr>
          <w:rFonts w:ascii="Lato" w:cs="Lato" w:eastAsia="Lato" w:hAnsi="Lato"/>
          <w:color w:val="97999B"/>
          <w:sz w:val="20"/>
          <w:szCs w:val="20"/>
        </w:rPr>
        <w:t xml:space="preserve">FSL2  ·  Foundational  ·  Self-navigated Learning</w:t>
      </w:r>
    </w:p>
    <w:p>
      <w:pPr>
        <w:spacing w:after="160"/>
      </w:pPr>
      <w:r>
        <w:rPr>
          <w:rFonts w:ascii="Lato" w:cs="Lato" w:eastAsia="Lato" w:hAnsi="Lato"/>
          <w:b/>
          <w:bCs/>
          <w:color w:val="004976"/>
          <w:sz w:val="21"/>
          <w:szCs w:val="21"/>
        </w:rPr>
        <w:t xml:space="preserve">Goal: </w:t>
      </w:r>
      <w:r>
        <w:rPr>
          <w:rFonts w:ascii="Lato" w:cs="Lato" w:eastAsia="Lato" w:hAnsi="Lato"/>
          <w:color w:val="041E42"/>
          <w:sz w:val="21"/>
          <w:szCs w:val="21"/>
        </w:rPr>
        <w:t xml:space="preserve">The learner can establish clear objectives for learning and growth and take deliberate steps to make progress towards them.</w:t>
      </w:r>
    </w:p>
    <w:p>
      <w:pPr>
        <w:spacing w:after="100" w:before="240"/>
      </w:pPr>
      <w:r>
        <w:rPr>
          <w:rFonts w:ascii="Roboto" w:cs="Roboto" w:eastAsia="Roboto" w:hAnsi="Roboto"/>
          <w:b/>
          <w:bCs/>
          <w:color w:val="004976"/>
          <w:sz w:val="25"/>
          <w:szCs w:val="25"/>
        </w:rPr>
        <w:t xml:space="preserve">Case FSL2-01</w:t>
      </w:r>
    </w:p>
    <w:p>
      <w:pPr>
        <w:spacing w:after="120"/>
      </w:pPr>
      <w:r>
        <w:rPr>
          <w:rFonts w:ascii="Lato" w:cs="Lato" w:eastAsia="Lato" w:hAnsi="Lato"/>
          <w:i/>
          <w:iCs/>
          <w:color w:val="97999B"/>
          <w:sz w:val="21"/>
          <w:szCs w:val="21"/>
        </w:rPr>
        <w:t xml:space="preserve">Yusuf  ·  Jordan</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Yusuf is a learner in Jordan. His educator is building a picture of how he sets and pursues goals for his own learning. The evidence below comes from a goal-setting activity and from conversations across the first few weeks of term.</w:t>
      </w:r>
    </w:p>
    <w:p>
      <w:pPr>
        <w:spacing w:after="80" w:before="40"/>
      </w:pPr>
      <w:r>
        <w:rPr>
          <w:rFonts w:ascii="Roboto" w:cs="Roboto" w:eastAsia="Roboto" w:hAnsi="Roboto"/>
          <w:b/>
          <w:bCs/>
          <w:caps/>
          <w:color w:val="97999B"/>
          <w:sz w:val="21"/>
          <w:szCs w:val="21"/>
        </w:rPr>
        <w:t xml:space="preserve">Evidence</w:t>
      </w:r>
    </w:p>
    <w:p>
      <w:pPr>
        <w:spacing w:after="140" w:line="276"/>
      </w:pPr>
      <w:r>
        <w:rPr>
          <w:rFonts w:ascii="Lato" w:cs="Lato" w:eastAsia="Lato" w:hAnsi="Lato"/>
          <w:b w:val="false"/>
          <w:bCs w:val="false"/>
          <w:i w:val="false"/>
          <w:iCs w:val="false"/>
          <w:color w:val="041E42"/>
          <w:sz w:val="21"/>
          <w:szCs w:val="21"/>
        </w:rPr>
        <w:t xml:space="preserve">When the group did a goal-setting activity at the start of term, the educator reviewed what Yusuf produced. Against the objective he had written that he wanted to do better and be more successful; the steps section was left blank; and where the sheet asked how he would know he had made progress, he had written that it would be when things are good.</w:t>
      </w:r>
    </w:p>
    <w:p>
      <w:pPr>
        <w:spacing w:after="140" w:line="276"/>
      </w:pPr>
      <w:r>
        <w:rPr>
          <w:rFonts w:ascii="Lato" w:cs="Lato" w:eastAsia="Lato" w:hAnsi="Lato"/>
          <w:b w:val="false"/>
          <w:bCs w:val="false"/>
          <w:i w:val="false"/>
          <w:iCs w:val="false"/>
          <w:color w:val="041E42"/>
          <w:sz w:val="21"/>
          <w:szCs w:val="21"/>
        </w:rPr>
        <w:t xml:space="preserve">In conversation over the following weeks, the educator returned to the question more than once, asking Yusuf what he wanted to work towards and how he might go about it. He said he was not sure, maybe everything, and when asked what a first step might look like he said he would think about it. He could not name a goal he was pursuing or describe how he would pursue one; he said he just wanted to be better in class.</w:t>
      </w:r>
    </w:p>
    <w:p>
      <w:pPr>
        <w:spacing w:after="40"/>
      </w:pPr>
    </w:p>
    <w:tbl>
      <w:tblPr>
        <w:tblW w:type="dxa" w:w="9506"/>
        <w:tblBorders>
          <w:top w:val="none"/>
          <w:left w:val="none"/>
          <w:bottom w:val="none"/>
          <w:right w:val="none"/>
          <w:insideH w:val="none"/>
          <w:insideV w:val="none"/>
        </w:tblBorders>
      </w:tblPr>
      <w:tblGrid>
        <w:gridCol w:w="9506"/>
      </w:tblGrid>
      <w:tr>
        <w:tc>
          <w:tcPr>
            <w:tcW w:type="dxa" w:w="9506"/>
            <w:shd w:fill="F2F3F4" w:val="clear"/>
            <w:tcMar>
              <w:top w:type="dxa" w:w="140"/>
              <w:left w:type="dxa" w:w="200"/>
              <w:bottom w:type="dxa" w:w="140"/>
              <w:right w:type="dxa" w:w="200"/>
            </w:tcMar>
          </w:tcPr>
          <w:p>
            <w:pPr>
              <w:spacing w:after="140"/>
            </w:pPr>
            <w:r>
              <w:rPr>
                <w:rFonts w:ascii="Roboto" w:cs="Roboto" w:eastAsia="Roboto" w:hAnsi="Roboto"/>
                <w:b/>
                <w:bCs/>
                <w:color w:val="004976"/>
                <w:sz w:val="21"/>
                <w:szCs w:val="21"/>
              </w:rPr>
              <w:t xml:space="preserve">Your judgement</w:t>
            </w:r>
          </w:p>
          <w:p>
            <w:pPr>
              <w:spacing w:after="200"/>
            </w:pPr>
            <w:r>
              <w:rPr>
                <w:rFonts w:ascii="Lato" w:cs="Lato" w:eastAsia="Lato" w:hAnsi="Lato"/>
                <w:b/>
                <w:bCs/>
                <w:color w:val="041E42"/>
                <w:sz w:val="21"/>
                <w:szCs w:val="21"/>
              </w:rPr>
              <w:t xml:space="preserve">Level awarded:  </w:t>
            </w:r>
            <w:r>
              <w:rPr>
                <w:rFonts w:ascii="Lato" w:cs="Lato" w:eastAsia="Lato" w:hAnsi="Lato"/>
                <w:color w:val="97999B"/>
                <w:sz w:val="21"/>
                <w:szCs w:val="21"/>
              </w:rPr>
              <w:t xml:space="preserve">________________________</w:t>
            </w:r>
          </w:p>
          <w:p>
            <w:pPr>
              <w:spacing w:after="140"/>
            </w:pPr>
            <w:r>
              <w:rPr>
                <w:rFonts w:ascii="Lato" w:cs="Lato" w:eastAsia="Lato" w:hAnsi="Lato"/>
                <w:color w:val="041E42"/>
                <w:sz w:val="21"/>
                <w:szCs w:val="21"/>
              </w:rPr>
              <w:t xml:space="preserve">Your reasoning (tie the decision to what the evidence shows, across the sources):</w:t>
            </w:r>
          </w:p>
          <w:p>
            <w:pPr>
              <w:pBdr>
                <w:bottom w:val="single" w:color="97999B" w:sz="4" w:space="8"/>
              </w:pBdr>
              <w:spacing w:after="220"/>
            </w:pPr>
          </w:p>
          <w:p>
            <w:pPr>
              <w:pBdr>
                <w:bottom w:val="single" w:color="97999B" w:sz="4" w:space="8"/>
              </w:pBdr>
              <w:spacing w:after="220"/>
            </w:pPr>
          </w:p>
          <w:p>
            <w:pPr>
              <w:pBdr>
                <w:bottom w:val="single" w:color="97999B" w:sz="4" w:space="8"/>
              </w:pBdr>
              <w:spacing w:after="220"/>
            </w:pPr>
          </w:p>
          <w:p>
            <w:pPr>
              <w:pBdr>
                <w:bottom w:val="single" w:color="97999B" w:sz="4" w:space="8"/>
              </w:pBdr>
              <w:spacing w:after="40"/>
            </w:pPr>
          </w:p>
        </w:tc>
      </w:tr>
    </w:tbl>
    <w:p>
      <w:pPr>
        <w:spacing w:after="80"/>
      </w:pPr>
    </w:p>
    <w:p>
      <w:pPr>
        <w:spacing w:after="100" w:before="240"/>
      </w:pPr>
      <w:r>
        <w:rPr>
          <w:rFonts w:ascii="Roboto" w:cs="Roboto" w:eastAsia="Roboto" w:hAnsi="Roboto"/>
          <w:b/>
          <w:bCs/>
          <w:color w:val="004976"/>
          <w:sz w:val="25"/>
          <w:szCs w:val="25"/>
        </w:rPr>
        <w:t xml:space="preserve">Case FSL2-02</w:t>
      </w:r>
    </w:p>
    <w:p>
      <w:pPr>
        <w:spacing w:after="120"/>
      </w:pPr>
      <w:r>
        <w:rPr>
          <w:rFonts w:ascii="Lato" w:cs="Lato" w:eastAsia="Lato" w:hAnsi="Lato"/>
          <w:i/>
          <w:iCs/>
          <w:color w:val="97999B"/>
          <w:sz w:val="21"/>
          <w:szCs w:val="21"/>
        </w:rPr>
        <w:t xml:space="preserve">Amina  ·  Kakuma, Kenya</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Amina is a learner in Kakuma, Kenya. Her educator has seen that she is a confident planner, and is assessing how she sets and pursues goals. One goal in view is her preparation for a showcase where she will pitch an enterprise idea in eight weeks.</w:t>
      </w:r>
    </w:p>
    <w:p>
      <w:pPr>
        <w:spacing w:after="80" w:before="40"/>
      </w:pPr>
      <w:r>
        <w:rPr>
          <w:rFonts w:ascii="Roboto" w:cs="Roboto" w:eastAsia="Roboto" w:hAnsi="Roboto"/>
          <w:b/>
          <w:bCs/>
          <w:caps/>
          <w:color w:val="97999B"/>
          <w:sz w:val="21"/>
          <w:szCs w:val="21"/>
        </w:rPr>
        <w:t xml:space="preserve">Evidence</w:t>
      </w:r>
    </w:p>
    <w:p>
      <w:pPr>
        <w:spacing w:after="140" w:line="276"/>
      </w:pPr>
      <w:r>
        <w:rPr>
          <w:rFonts w:ascii="Lato" w:cs="Lato" w:eastAsia="Lato" w:hAnsi="Lato"/>
          <w:b w:val="false"/>
          <w:bCs w:val="false"/>
          <w:i w:val="false"/>
          <w:iCs w:val="false"/>
          <w:color w:val="041E42"/>
          <w:sz w:val="21"/>
          <w:szCs w:val="21"/>
        </w:rPr>
        <w:t xml:space="preserve">The educator reviewed the goal plan Amina drew up. In it she set a clear objective, to improve her spoken English so she could pitch confidently at the showcase in eight weeks, and set out the steps she would take: practise with a speaking partner twice a week, record herself weekly and listen back, and ask for feedback after each practice. She had written that speaking was her weakest area and that the pitch carries weight at the showcase, so this was where practice would make the most difference.</w:t>
      </w:r>
    </w:p>
    <w:p>
      <w:pPr>
        <w:spacing w:after="140" w:line="276"/>
      </w:pPr>
      <w:r>
        <w:rPr>
          <w:rFonts w:ascii="Lato" w:cs="Lato" w:eastAsia="Lato" w:hAnsi="Lato"/>
          <w:b w:val="false"/>
          <w:bCs w:val="false"/>
          <w:i w:val="false"/>
          <w:iCs w:val="false"/>
          <w:color w:val="041E42"/>
          <w:sz w:val="21"/>
          <w:szCs w:val="21"/>
        </w:rPr>
        <w:t xml:space="preserve">In conversation the educator asked Amina more broadly how she goes about setting and working towards her goals. She spoke fluently and with energy, describing how she breaks a goal into steps and why she sequences them as she does. She clearly understood what she intended to do.</w:t>
      </w:r>
    </w:p>
    <w:p>
      <w:pPr>
        <w:spacing w:after="140" w:line="276"/>
      </w:pPr>
      <w:r>
        <w:rPr>
          <w:rFonts w:ascii="Lato" w:cs="Lato" w:eastAsia="Lato" w:hAnsi="Lato"/>
          <w:b w:val="false"/>
          <w:bCs w:val="false"/>
          <w:i w:val="false"/>
          <w:iCs w:val="false"/>
          <w:color w:val="041E42"/>
          <w:sz w:val="21"/>
          <w:szCs w:val="21"/>
        </w:rPr>
        <w:t xml:space="preserve">Across the next few weeks, though, the educator saw no sign that Amina had begun any of it. She had not met her speaking partner and had made no recordings, and each time she said she had been meaning to start. Neither this goal nor others she described had moved past planning.</w:t>
      </w:r>
    </w:p>
    <w:p>
      <w:pPr>
        <w:spacing w:after="140" w:line="276"/>
      </w:pPr>
      <w:r>
        <w:rPr>
          <w:rFonts w:ascii="Lato" w:cs="Lato" w:eastAsia="Lato" w:hAnsi="Lato"/>
          <w:b w:val="false"/>
          <w:bCs w:val="false"/>
          <w:i w:val="false"/>
          <w:iCs w:val="false"/>
          <w:color w:val="041E42"/>
          <w:sz w:val="21"/>
          <w:szCs w:val="21"/>
        </w:rPr>
        <w:t xml:space="preserve">A peer mentioned in passing that Amina often talked about her plans but had not started practising with anyone.</w:t>
      </w:r>
    </w:p>
    <w:p>
      <w:pPr>
        <w:spacing w:after="40"/>
      </w:pPr>
    </w:p>
    <w:tbl>
      <w:tblPr>
        <w:tblW w:type="dxa" w:w="9506"/>
        <w:tblBorders>
          <w:top w:val="none"/>
          <w:left w:val="none"/>
          <w:bottom w:val="none"/>
          <w:right w:val="none"/>
          <w:insideH w:val="none"/>
          <w:insideV w:val="none"/>
        </w:tblBorders>
      </w:tblPr>
      <w:tblGrid>
        <w:gridCol w:w="9506"/>
      </w:tblGrid>
      <w:tr>
        <w:tc>
          <w:tcPr>
            <w:tcW w:type="dxa" w:w="9506"/>
            <w:shd w:fill="F2F3F4" w:val="clear"/>
            <w:tcMar>
              <w:top w:type="dxa" w:w="140"/>
              <w:left w:type="dxa" w:w="200"/>
              <w:bottom w:type="dxa" w:w="140"/>
              <w:right w:type="dxa" w:w="200"/>
            </w:tcMar>
          </w:tcPr>
          <w:p>
            <w:pPr>
              <w:spacing w:after="140"/>
            </w:pPr>
            <w:r>
              <w:rPr>
                <w:rFonts w:ascii="Roboto" w:cs="Roboto" w:eastAsia="Roboto" w:hAnsi="Roboto"/>
                <w:b/>
                <w:bCs/>
                <w:color w:val="004976"/>
                <w:sz w:val="21"/>
                <w:szCs w:val="21"/>
              </w:rPr>
              <w:t xml:space="preserve">Your judgement</w:t>
            </w:r>
          </w:p>
          <w:p>
            <w:pPr>
              <w:spacing w:after="200"/>
            </w:pPr>
            <w:r>
              <w:rPr>
                <w:rFonts w:ascii="Lato" w:cs="Lato" w:eastAsia="Lato" w:hAnsi="Lato"/>
                <w:b/>
                <w:bCs/>
                <w:color w:val="041E42"/>
                <w:sz w:val="21"/>
                <w:szCs w:val="21"/>
              </w:rPr>
              <w:t xml:space="preserve">Level awarded:  </w:t>
            </w:r>
            <w:r>
              <w:rPr>
                <w:rFonts w:ascii="Lato" w:cs="Lato" w:eastAsia="Lato" w:hAnsi="Lato"/>
                <w:color w:val="97999B"/>
                <w:sz w:val="21"/>
                <w:szCs w:val="21"/>
              </w:rPr>
              <w:t xml:space="preserve">________________________</w:t>
            </w:r>
          </w:p>
          <w:p>
            <w:pPr>
              <w:spacing w:after="140"/>
            </w:pPr>
            <w:r>
              <w:rPr>
                <w:rFonts w:ascii="Lato" w:cs="Lato" w:eastAsia="Lato" w:hAnsi="Lato"/>
                <w:color w:val="041E42"/>
                <w:sz w:val="21"/>
                <w:szCs w:val="21"/>
              </w:rPr>
              <w:t xml:space="preserve">Your reasoning (tie the decision to what the evidence shows, across the sources):</w:t>
            </w:r>
          </w:p>
          <w:p>
            <w:pPr>
              <w:pBdr>
                <w:bottom w:val="single" w:color="97999B" w:sz="4" w:space="8"/>
              </w:pBdr>
              <w:spacing w:after="220"/>
            </w:pPr>
          </w:p>
          <w:p>
            <w:pPr>
              <w:pBdr>
                <w:bottom w:val="single" w:color="97999B" w:sz="4" w:space="8"/>
              </w:pBdr>
              <w:spacing w:after="220"/>
            </w:pPr>
          </w:p>
          <w:p>
            <w:pPr>
              <w:pBdr>
                <w:bottom w:val="single" w:color="97999B" w:sz="4" w:space="8"/>
              </w:pBdr>
              <w:spacing w:after="220"/>
            </w:pPr>
          </w:p>
          <w:p>
            <w:pPr>
              <w:pBdr>
                <w:bottom w:val="single" w:color="97999B" w:sz="4" w:space="8"/>
              </w:pBdr>
              <w:spacing w:after="40"/>
            </w:pPr>
          </w:p>
        </w:tc>
      </w:tr>
    </w:tbl>
    <w:p>
      <w:pPr>
        <w:spacing w:after="80"/>
      </w:pPr>
    </w:p>
    <w:p>
      <w:pPr>
        <w:spacing w:after="100" w:before="240"/>
      </w:pPr>
      <w:r>
        <w:rPr>
          <w:rFonts w:ascii="Roboto" w:cs="Roboto" w:eastAsia="Roboto" w:hAnsi="Roboto"/>
          <w:b/>
          <w:bCs/>
          <w:color w:val="004976"/>
          <w:sz w:val="25"/>
          <w:szCs w:val="25"/>
        </w:rPr>
        <w:t xml:space="preserve">Case FSL2-03</w:t>
      </w:r>
    </w:p>
    <w:p>
      <w:pPr>
        <w:spacing w:after="120"/>
      </w:pPr>
      <w:r>
        <w:rPr>
          <w:rFonts w:ascii="Lato" w:cs="Lato" w:eastAsia="Lato" w:hAnsi="Lato"/>
          <w:i/>
          <w:iCs/>
          <w:color w:val="97999B"/>
          <w:sz w:val="21"/>
          <w:szCs w:val="21"/>
        </w:rPr>
        <w:t xml:space="preserve">Nadia  ·  Bangladesh</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Nadia is a learner in Bangladesh. Her educator is assessing how she sets and pursues goals, drawing on what she has done recently, including work to improve part of her science project after an earlier draft lost marks.</w:t>
      </w:r>
    </w:p>
    <w:p>
      <w:pPr>
        <w:spacing w:after="80" w:before="40"/>
      </w:pPr>
      <w:r>
        <w:rPr>
          <w:rFonts w:ascii="Roboto" w:cs="Roboto" w:eastAsia="Roboto" w:hAnsi="Roboto"/>
          <w:b/>
          <w:bCs/>
          <w:caps/>
          <w:color w:val="97999B"/>
          <w:sz w:val="21"/>
          <w:szCs w:val="21"/>
        </w:rPr>
        <w:t xml:space="preserve">Evidence</w:t>
      </w:r>
    </w:p>
    <w:p>
      <w:pPr>
        <w:spacing w:after="140" w:line="276"/>
      </w:pPr>
      <w:r>
        <w:rPr>
          <w:rFonts w:ascii="Lato" w:cs="Lato" w:eastAsia="Lato" w:hAnsi="Lato"/>
          <w:b w:val="false"/>
          <w:bCs w:val="false"/>
          <w:i w:val="false"/>
          <w:iCs w:val="false"/>
          <w:color w:val="041E42"/>
          <w:sz w:val="21"/>
          <w:szCs w:val="21"/>
        </w:rPr>
        <w:t xml:space="preserve">The educator reviewed a goal Nadia had set herself: to strengthen the data analysis section of her science project after it lost marks. She had set out what she would do, attend the two tutoring sessions on data analysis, redo the analysis, and submit it for feedback, and had noted that the data handling was where she had lost marks, so it was the step most likely to raise the quality of the work.</w:t>
      </w:r>
    </w:p>
    <w:p>
      <w:pPr>
        <w:spacing w:after="140" w:line="276"/>
      </w:pPr>
      <w:r>
        <w:rPr>
          <w:rFonts w:ascii="Lato" w:cs="Lato" w:eastAsia="Lato" w:hAnsi="Lato"/>
          <w:b w:val="false"/>
          <w:bCs w:val="false"/>
          <w:i w:val="false"/>
          <w:iCs w:val="false"/>
          <w:color w:val="041E42"/>
          <w:sz w:val="21"/>
          <w:szCs w:val="21"/>
        </w:rPr>
        <w:t xml:space="preserve">The educator saw Nadia carry the plan out: she attended both sessions, took notes, reworked the section using what she had learned, and submitted it. She could explain why she had chosen each step.</w:t>
      </w:r>
    </w:p>
    <w:p>
      <w:pPr>
        <w:spacing w:after="140" w:line="276"/>
      </w:pPr>
      <w:r>
        <w:rPr>
          <w:rFonts w:ascii="Lato" w:cs="Lato" w:eastAsia="Lato" w:hAnsi="Lato"/>
          <w:b w:val="false"/>
          <w:bCs w:val="false"/>
          <w:i w:val="false"/>
          <w:iCs w:val="false"/>
          <w:color w:val="041E42"/>
          <w:sz w:val="21"/>
          <w:szCs w:val="21"/>
        </w:rPr>
        <w:t xml:space="preserve">In a review conversation, the educator began with how the work had gone and then turned to the competency itself, asking Nadia how she goes about setting and pursuing goals, what tends to work for her and what she would do differently in her approach. She could describe what she had done but not step back from it: she said she was not sure, she had just followed her plan, and named no strength or weakness in how she had gone about it. The revised work had not yet been marked.</w:t>
      </w:r>
    </w:p>
    <w:p>
      <w:pPr>
        <w:spacing w:after="40"/>
      </w:pPr>
    </w:p>
    <w:tbl>
      <w:tblPr>
        <w:tblW w:type="dxa" w:w="9506"/>
        <w:tblBorders>
          <w:top w:val="none"/>
          <w:left w:val="none"/>
          <w:bottom w:val="none"/>
          <w:right w:val="none"/>
          <w:insideH w:val="none"/>
          <w:insideV w:val="none"/>
        </w:tblBorders>
      </w:tblPr>
      <w:tblGrid>
        <w:gridCol w:w="9506"/>
      </w:tblGrid>
      <w:tr>
        <w:tc>
          <w:tcPr>
            <w:tcW w:type="dxa" w:w="9506"/>
            <w:shd w:fill="F2F3F4" w:val="clear"/>
            <w:tcMar>
              <w:top w:type="dxa" w:w="140"/>
              <w:left w:type="dxa" w:w="200"/>
              <w:bottom w:type="dxa" w:w="140"/>
              <w:right w:type="dxa" w:w="200"/>
            </w:tcMar>
          </w:tcPr>
          <w:p>
            <w:pPr>
              <w:spacing w:after="140"/>
            </w:pPr>
            <w:r>
              <w:rPr>
                <w:rFonts w:ascii="Roboto" w:cs="Roboto" w:eastAsia="Roboto" w:hAnsi="Roboto"/>
                <w:b/>
                <w:bCs/>
                <w:color w:val="004976"/>
                <w:sz w:val="21"/>
                <w:szCs w:val="21"/>
              </w:rPr>
              <w:t xml:space="preserve">Your judgement</w:t>
            </w:r>
          </w:p>
          <w:p>
            <w:pPr>
              <w:spacing w:after="200"/>
            </w:pPr>
            <w:r>
              <w:rPr>
                <w:rFonts w:ascii="Lato" w:cs="Lato" w:eastAsia="Lato" w:hAnsi="Lato"/>
                <w:b/>
                <w:bCs/>
                <w:color w:val="041E42"/>
                <w:sz w:val="21"/>
                <w:szCs w:val="21"/>
              </w:rPr>
              <w:t xml:space="preserve">Level awarded:  </w:t>
            </w:r>
            <w:r>
              <w:rPr>
                <w:rFonts w:ascii="Lato" w:cs="Lato" w:eastAsia="Lato" w:hAnsi="Lato"/>
                <w:color w:val="97999B"/>
                <w:sz w:val="21"/>
                <w:szCs w:val="21"/>
              </w:rPr>
              <w:t xml:space="preserve">________________________</w:t>
            </w:r>
          </w:p>
          <w:p>
            <w:pPr>
              <w:spacing w:after="140"/>
            </w:pPr>
            <w:r>
              <w:rPr>
                <w:rFonts w:ascii="Lato" w:cs="Lato" w:eastAsia="Lato" w:hAnsi="Lato"/>
                <w:color w:val="041E42"/>
                <w:sz w:val="21"/>
                <w:szCs w:val="21"/>
              </w:rPr>
              <w:t xml:space="preserve">Your reasoning (tie the decision to what the evidence shows, across the sources):</w:t>
            </w:r>
          </w:p>
          <w:p>
            <w:pPr>
              <w:pBdr>
                <w:bottom w:val="single" w:color="97999B" w:sz="4" w:space="8"/>
              </w:pBdr>
              <w:spacing w:after="220"/>
            </w:pPr>
          </w:p>
          <w:p>
            <w:pPr>
              <w:pBdr>
                <w:bottom w:val="single" w:color="97999B" w:sz="4" w:space="8"/>
              </w:pBdr>
              <w:spacing w:after="220"/>
            </w:pPr>
          </w:p>
          <w:p>
            <w:pPr>
              <w:pBdr>
                <w:bottom w:val="single" w:color="97999B" w:sz="4" w:space="8"/>
              </w:pBdr>
              <w:spacing w:after="220"/>
            </w:pPr>
          </w:p>
          <w:p>
            <w:pPr>
              <w:pBdr>
                <w:bottom w:val="single" w:color="97999B" w:sz="4" w:space="8"/>
              </w:pBdr>
              <w:spacing w:after="40"/>
            </w:pPr>
          </w:p>
        </w:tc>
      </w:tr>
    </w:tbl>
    <w:p>
      <w:pPr>
        <w:spacing w:after="80"/>
      </w:pPr>
    </w:p>
    <w:p>
      <w:pPr>
        <w:spacing w:after="100" w:before="240"/>
      </w:pPr>
      <w:r>
        <w:rPr>
          <w:rFonts w:ascii="Roboto" w:cs="Roboto" w:eastAsia="Roboto" w:hAnsi="Roboto"/>
          <w:b/>
          <w:bCs/>
          <w:color w:val="004976"/>
          <w:sz w:val="25"/>
          <w:szCs w:val="25"/>
        </w:rPr>
        <w:t xml:space="preserve">Case FSL2-04</w:t>
      </w:r>
    </w:p>
    <w:p>
      <w:pPr>
        <w:spacing w:after="120"/>
      </w:pPr>
      <w:r>
        <w:rPr>
          <w:rFonts w:ascii="Lato" w:cs="Lato" w:eastAsia="Lato" w:hAnsi="Lato"/>
          <w:i/>
          <w:iCs/>
          <w:color w:val="97999B"/>
          <w:sz w:val="21"/>
          <w:szCs w:val="21"/>
        </w:rPr>
        <w:t xml:space="preserve">Sahar  ·  online</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Sahar is an online learner. Her educator is assessing how she sets and pursues goals. The clearest evidence is one goal she set and saw through this term: running the weekly study group for her cohort so that members took part.</w:t>
      </w:r>
    </w:p>
    <w:p>
      <w:pPr>
        <w:spacing w:after="80" w:before="40"/>
      </w:pPr>
      <w:r>
        <w:rPr>
          <w:rFonts w:ascii="Roboto" w:cs="Roboto" w:eastAsia="Roboto" w:hAnsi="Roboto"/>
          <w:b/>
          <w:bCs/>
          <w:caps/>
          <w:color w:val="97999B"/>
          <w:sz w:val="21"/>
          <w:szCs w:val="21"/>
        </w:rPr>
        <w:t xml:space="preserve">Evidence</w:t>
      </w:r>
    </w:p>
    <w:p>
      <w:pPr>
        <w:spacing w:after="140" w:line="276"/>
      </w:pPr>
      <w:r>
        <w:rPr>
          <w:rFonts w:ascii="Lato" w:cs="Lato" w:eastAsia="Lato" w:hAnsi="Lato"/>
          <w:b w:val="false"/>
          <w:bCs w:val="false"/>
          <w:i w:val="false"/>
          <w:iCs w:val="false"/>
          <w:color w:val="041E42"/>
          <w:sz w:val="21"/>
          <w:szCs w:val="21"/>
        </w:rPr>
        <w:t xml:space="preserve">The educator reviewed the goal Sahar set: to run the weekly online study group so that members took part rather than only attended. She had planned her steps, prepare an agenda each week, assign a role to each member, follow up with anyone who went quiet, and had reasoned that participation drops when sessions are unstructured, so structure and clear roles should help.</w:t>
      </w:r>
    </w:p>
    <w:p>
      <w:pPr>
        <w:spacing w:after="140" w:line="276"/>
      </w:pPr>
      <w:r>
        <w:rPr>
          <w:rFonts w:ascii="Lato" w:cs="Lato" w:eastAsia="Lato" w:hAnsi="Lato"/>
          <w:b w:val="false"/>
          <w:bCs w:val="false"/>
          <w:i w:val="false"/>
          <w:iCs w:val="false"/>
          <w:color w:val="041E42"/>
          <w:sz w:val="21"/>
          <w:szCs w:val="21"/>
        </w:rPr>
        <w:t xml:space="preserve">The educator watched her carry it through across the term. Sahar ran the group each week, and over six weeks the number of members speaking rose from two or three to most of the group, with two who had never spoken beginning to lead parts of the discussion. Alongside this she kept her own week-by-week record of who contributed.</w:t>
      </w:r>
    </w:p>
    <w:p>
      <w:pPr>
        <w:spacing w:after="140" w:line="276"/>
      </w:pPr>
      <w:r>
        <w:rPr>
          <w:rFonts w:ascii="Lato" w:cs="Lato" w:eastAsia="Lato" w:hAnsi="Lato"/>
          <w:b w:val="false"/>
          <w:bCs w:val="false"/>
          <w:i w:val="false"/>
          <w:iCs w:val="false"/>
          <w:color w:val="041E42"/>
          <w:sz w:val="21"/>
          <w:szCs w:val="21"/>
        </w:rPr>
        <w:t xml:space="preserve">At a session where learners each presented a goal they had worked on that term, Sahar spoke as much about how she had gone about it as about the group itself. Defining what she wanted as each member speaking every week, rather than just attending, had let her see week to week whether it was working, and she showed the record where the names contributing spread from three to nine. She was also frank about what had not worked: she had set all her steps at the start and left no point to check partway, so she only noticed her first agenda was too full after two members had drifted away, and she said she would build in a mid-term check if she ran it again.</w:t>
      </w:r>
    </w:p>
    <w:p>
      <w:pPr>
        <w:spacing w:after="40"/>
      </w:pPr>
    </w:p>
    <w:tbl>
      <w:tblPr>
        <w:tblW w:type="dxa" w:w="9506"/>
        <w:tblBorders>
          <w:top w:val="none"/>
          <w:left w:val="none"/>
          <w:bottom w:val="none"/>
          <w:right w:val="none"/>
          <w:insideH w:val="none"/>
          <w:insideV w:val="none"/>
        </w:tblBorders>
      </w:tblPr>
      <w:tblGrid>
        <w:gridCol w:w="9506"/>
      </w:tblGrid>
      <w:tr>
        <w:tc>
          <w:tcPr>
            <w:tcW w:type="dxa" w:w="9506"/>
            <w:shd w:fill="F2F3F4" w:val="clear"/>
            <w:tcMar>
              <w:top w:type="dxa" w:w="140"/>
              <w:left w:type="dxa" w:w="200"/>
              <w:bottom w:type="dxa" w:w="140"/>
              <w:right w:type="dxa" w:w="200"/>
            </w:tcMar>
          </w:tcPr>
          <w:p>
            <w:pPr>
              <w:spacing w:after="140"/>
            </w:pPr>
            <w:r>
              <w:rPr>
                <w:rFonts w:ascii="Roboto" w:cs="Roboto" w:eastAsia="Roboto" w:hAnsi="Roboto"/>
                <w:b/>
                <w:bCs/>
                <w:color w:val="004976"/>
                <w:sz w:val="21"/>
                <w:szCs w:val="21"/>
              </w:rPr>
              <w:t xml:space="preserve">Your judgement</w:t>
            </w:r>
          </w:p>
          <w:p>
            <w:pPr>
              <w:spacing w:after="200"/>
            </w:pPr>
            <w:r>
              <w:rPr>
                <w:rFonts w:ascii="Lato" w:cs="Lato" w:eastAsia="Lato" w:hAnsi="Lato"/>
                <w:b/>
                <w:bCs/>
                <w:color w:val="041E42"/>
                <w:sz w:val="21"/>
                <w:szCs w:val="21"/>
              </w:rPr>
              <w:t xml:space="preserve">Level awarded:  </w:t>
            </w:r>
            <w:r>
              <w:rPr>
                <w:rFonts w:ascii="Lato" w:cs="Lato" w:eastAsia="Lato" w:hAnsi="Lato"/>
                <w:color w:val="97999B"/>
                <w:sz w:val="21"/>
                <w:szCs w:val="21"/>
              </w:rPr>
              <w:t xml:space="preserve">________________________</w:t>
            </w:r>
          </w:p>
          <w:p>
            <w:pPr>
              <w:spacing w:after="140"/>
            </w:pPr>
            <w:r>
              <w:rPr>
                <w:rFonts w:ascii="Lato" w:cs="Lato" w:eastAsia="Lato" w:hAnsi="Lato"/>
                <w:color w:val="041E42"/>
                <w:sz w:val="21"/>
                <w:szCs w:val="21"/>
              </w:rPr>
              <w:t xml:space="preserve">Your reasoning (tie the decision to what the evidence shows, across the sources):</w:t>
            </w:r>
          </w:p>
          <w:p>
            <w:pPr>
              <w:pBdr>
                <w:bottom w:val="single" w:color="97999B" w:sz="4" w:space="8"/>
              </w:pBdr>
              <w:spacing w:after="220"/>
            </w:pPr>
          </w:p>
          <w:p>
            <w:pPr>
              <w:pBdr>
                <w:bottom w:val="single" w:color="97999B" w:sz="4" w:space="8"/>
              </w:pBdr>
              <w:spacing w:after="220"/>
            </w:pPr>
          </w:p>
          <w:p>
            <w:pPr>
              <w:pBdr>
                <w:bottom w:val="single" w:color="97999B" w:sz="4" w:space="8"/>
              </w:pBdr>
              <w:spacing w:after="220"/>
            </w:pPr>
          </w:p>
          <w:p>
            <w:pPr>
              <w:pBdr>
                <w:bottom w:val="single" w:color="97999B" w:sz="4" w:space="8"/>
              </w:pBdr>
              <w:spacing w:after="40"/>
            </w:pPr>
          </w:p>
        </w:tc>
      </w:tr>
    </w:tbl>
    <w:p>
      <w:pPr>
        <w:spacing w:after="80"/>
      </w:pPr>
    </w:p>
    <w:p>
      <w:pPr>
        <w:spacing w:after="100" w:before="240"/>
      </w:pPr>
      <w:r>
        <w:rPr>
          <w:rFonts w:ascii="Roboto" w:cs="Roboto" w:eastAsia="Roboto" w:hAnsi="Roboto"/>
          <w:b/>
          <w:bCs/>
          <w:color w:val="004976"/>
          <w:sz w:val="25"/>
          <w:szCs w:val="25"/>
        </w:rPr>
        <w:t xml:space="preserve">Case FSL2-05</w:t>
      </w:r>
    </w:p>
    <w:p>
      <w:pPr>
        <w:spacing w:after="120"/>
      </w:pPr>
      <w:r>
        <w:rPr>
          <w:rFonts w:ascii="Lato" w:cs="Lato" w:eastAsia="Lato" w:hAnsi="Lato"/>
          <w:i/>
          <w:iCs/>
          <w:color w:val="97999B"/>
          <w:sz w:val="21"/>
          <w:szCs w:val="21"/>
        </w:rPr>
        <w:t xml:space="preserve">Mya  ·  Thailand</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Mya is a learner in Thailand. Her educator has seen her set and pursue goals in more than one situation across the year, and is assessing the competency across that fuller picture. Two clear instances are a neighbourhood clean-up and, later, a fundraising drive for the school library.</w:t>
      </w:r>
    </w:p>
    <w:p>
      <w:pPr>
        <w:spacing w:after="80" w:before="40"/>
      </w:pPr>
      <w:r>
        <w:rPr>
          <w:rFonts w:ascii="Roboto" w:cs="Roboto" w:eastAsia="Roboto" w:hAnsi="Roboto"/>
          <w:b/>
          <w:bCs/>
          <w:caps/>
          <w:color w:val="97999B"/>
          <w:sz w:val="21"/>
          <w:szCs w:val="21"/>
        </w:rPr>
        <w:t xml:space="preserve">Evidence</w:t>
      </w:r>
    </w:p>
    <w:p>
      <w:pPr>
        <w:spacing w:after="140" w:line="276"/>
      </w:pPr>
      <w:r>
        <w:rPr>
          <w:rFonts w:ascii="Lato" w:cs="Lato" w:eastAsia="Lato" w:hAnsi="Lato"/>
          <w:b w:val="false"/>
          <w:bCs w:val="false"/>
          <w:i w:val="false"/>
          <w:iCs w:val="false"/>
          <w:color w:val="041E42"/>
          <w:sz w:val="21"/>
          <w:szCs w:val="21"/>
        </w:rPr>
        <w:t xml:space="preserve">The educator reviewed the goals Mya set in each. For the clean-up she wrote that she chose it because litter on the route to school was something she and her classmates kept raising; for the fundraiser, set later, she noted she wanted to fix a problem she had run into the first time. Each came with the steps she would take.</w:t>
      </w:r>
    </w:p>
    <w:p>
      <w:pPr>
        <w:spacing w:after="140" w:line="276"/>
      </w:pPr>
      <w:r>
        <w:rPr>
          <w:rFonts w:ascii="Lato" w:cs="Lato" w:eastAsia="Lato" w:hAnsi="Lato"/>
          <w:b w:val="false"/>
          <w:bCs w:val="false"/>
          <w:i w:val="false"/>
          <w:iCs w:val="false"/>
          <w:color w:val="041E42"/>
          <w:sz w:val="21"/>
          <w:szCs w:val="21"/>
        </w:rPr>
        <w:t xml:space="preserve">The educator knew the clean-up went ahead, drawing around fifteen participants and clearing the target area.</w:t>
      </w:r>
    </w:p>
    <w:p>
      <w:pPr>
        <w:spacing w:after="140" w:line="276"/>
      </w:pPr>
      <w:r>
        <w:rPr>
          <w:rFonts w:ascii="Lato" w:cs="Lato" w:eastAsia="Lato" w:hAnsi="Lato"/>
          <w:b w:val="false"/>
          <w:bCs w:val="false"/>
          <w:i w:val="false"/>
          <w:iCs w:val="false"/>
          <w:color w:val="041E42"/>
          <w:sz w:val="21"/>
          <w:szCs w:val="21"/>
        </w:rPr>
        <w:t xml:space="preserve">Later in the year the educator saw the fundraising drive meet its target within three weeks.</w:t>
      </w:r>
    </w:p>
    <w:p>
      <w:pPr>
        <w:spacing w:after="140" w:line="276"/>
      </w:pPr>
      <w:r>
        <w:rPr>
          <w:rFonts w:ascii="Lato" w:cs="Lato" w:eastAsia="Lato" w:hAnsi="Lato"/>
          <w:b w:val="false"/>
          <w:bCs w:val="false"/>
          <w:i w:val="false"/>
          <w:iCs w:val="false"/>
          <w:color w:val="041E42"/>
          <w:sz w:val="21"/>
          <w:szCs w:val="21"/>
        </w:rPr>
        <w:t xml:space="preserve">At an end-of-year showcase, Mya presented both efforts and talked through how her way of setting and pursuing goals had changed between them. For the clean-up, she said, she had left telling people until close to the day, and only about fifteen came, several of them saying they had heard only the day before. For the fundraiser she had planned the announcements first, starting two weeks ahead, and she showed how sign-ups came in steadily from the first days rather than in a last-minute rush. She was clear about what she had carried from the first effort into the second and why.</w:t>
      </w:r>
    </w:p>
    <w:p>
      <w:pPr>
        <w:spacing w:after="40"/>
      </w:pPr>
    </w:p>
    <w:tbl>
      <w:tblPr>
        <w:tblW w:type="dxa" w:w="9506"/>
        <w:tblBorders>
          <w:top w:val="none"/>
          <w:left w:val="none"/>
          <w:bottom w:val="none"/>
          <w:right w:val="none"/>
          <w:insideH w:val="none"/>
          <w:insideV w:val="none"/>
        </w:tblBorders>
      </w:tblPr>
      <w:tblGrid>
        <w:gridCol w:w="9506"/>
      </w:tblGrid>
      <w:tr>
        <w:tc>
          <w:tcPr>
            <w:tcW w:type="dxa" w:w="9506"/>
            <w:shd w:fill="F2F3F4" w:val="clear"/>
            <w:tcMar>
              <w:top w:type="dxa" w:w="140"/>
              <w:left w:type="dxa" w:w="200"/>
              <w:bottom w:type="dxa" w:w="140"/>
              <w:right w:type="dxa" w:w="200"/>
            </w:tcMar>
          </w:tcPr>
          <w:p>
            <w:pPr>
              <w:spacing w:after="140"/>
            </w:pPr>
            <w:r>
              <w:rPr>
                <w:rFonts w:ascii="Roboto" w:cs="Roboto" w:eastAsia="Roboto" w:hAnsi="Roboto"/>
                <w:b/>
                <w:bCs/>
                <w:color w:val="004976"/>
                <w:sz w:val="21"/>
                <w:szCs w:val="21"/>
              </w:rPr>
              <w:t xml:space="preserve">Your judgement</w:t>
            </w:r>
          </w:p>
          <w:p>
            <w:pPr>
              <w:spacing w:after="200"/>
            </w:pPr>
            <w:r>
              <w:rPr>
                <w:rFonts w:ascii="Lato" w:cs="Lato" w:eastAsia="Lato" w:hAnsi="Lato"/>
                <w:b/>
                <w:bCs/>
                <w:color w:val="041E42"/>
                <w:sz w:val="21"/>
                <w:szCs w:val="21"/>
              </w:rPr>
              <w:t xml:space="preserve">Level awarded:  </w:t>
            </w:r>
            <w:r>
              <w:rPr>
                <w:rFonts w:ascii="Lato" w:cs="Lato" w:eastAsia="Lato" w:hAnsi="Lato"/>
                <w:color w:val="97999B"/>
                <w:sz w:val="21"/>
                <w:szCs w:val="21"/>
              </w:rPr>
              <w:t xml:space="preserve">________________________</w:t>
            </w:r>
          </w:p>
          <w:p>
            <w:pPr>
              <w:spacing w:after="140"/>
            </w:pPr>
            <w:r>
              <w:rPr>
                <w:rFonts w:ascii="Lato" w:cs="Lato" w:eastAsia="Lato" w:hAnsi="Lato"/>
                <w:color w:val="041E42"/>
                <w:sz w:val="21"/>
                <w:szCs w:val="21"/>
              </w:rPr>
              <w:t xml:space="preserve">Your reasoning (tie the decision to what the evidence shows, across the sources):</w:t>
            </w:r>
          </w:p>
          <w:p>
            <w:pPr>
              <w:pBdr>
                <w:bottom w:val="single" w:color="97999B" w:sz="4" w:space="8"/>
              </w:pBdr>
              <w:spacing w:after="220"/>
            </w:pPr>
          </w:p>
          <w:p>
            <w:pPr>
              <w:pBdr>
                <w:bottom w:val="single" w:color="97999B" w:sz="4" w:space="8"/>
              </w:pBdr>
              <w:spacing w:after="220"/>
            </w:pPr>
          </w:p>
          <w:p>
            <w:pPr>
              <w:pBdr>
                <w:bottom w:val="single" w:color="97999B" w:sz="4" w:space="8"/>
              </w:pBdr>
              <w:spacing w:after="220"/>
            </w:pPr>
          </w:p>
          <w:p>
            <w:pPr>
              <w:pBdr>
                <w:bottom w:val="single" w:color="97999B" w:sz="4" w:space="8"/>
              </w:pBdr>
              <w:spacing w:after="40"/>
            </w:pPr>
          </w:p>
        </w:tc>
      </w:tr>
    </w:tbl>
    <w:p>
      <w:pPr>
        <w:spacing w:after="80"/>
      </w:pPr>
    </w:p>
    <w:p>
      <w:pPr>
        <w:pBdr>
          <w:bottom w:val="single" w:color="8F993E" w:sz="6" w:space="4"/>
        </w:pBdr>
        <w:spacing w:after="100" w:before="260"/>
      </w:pPr>
      <w:r>
        <w:rPr>
          <w:rFonts w:ascii="Roboto" w:cs="Roboto" w:eastAsia="Roboto" w:hAnsi="Roboto"/>
          <w:b/>
          <w:bCs/>
          <w:color w:val="004976"/>
          <w:sz w:val="30"/>
          <w:szCs w:val="30"/>
        </w:rPr>
        <w:t xml:space="preserve">Investigate real-world issues</w:t>
      </w:r>
    </w:p>
    <w:p>
      <w:pPr>
        <w:spacing w:after="60"/>
      </w:pPr>
      <w:r>
        <w:rPr>
          <w:rFonts w:ascii="Lato" w:cs="Lato" w:eastAsia="Lato" w:hAnsi="Lato"/>
          <w:color w:val="97999B"/>
          <w:sz w:val="20"/>
          <w:szCs w:val="20"/>
        </w:rPr>
        <w:t xml:space="preserve">FSI1  ·  Foundational  ·  Sustainable Innovation</w:t>
      </w:r>
    </w:p>
    <w:p>
      <w:pPr>
        <w:spacing w:after="160"/>
      </w:pPr>
      <w:r>
        <w:rPr>
          <w:rFonts w:ascii="Lato" w:cs="Lato" w:eastAsia="Lato" w:hAnsi="Lato"/>
          <w:b/>
          <w:bCs/>
          <w:color w:val="004976"/>
          <w:sz w:val="21"/>
          <w:szCs w:val="21"/>
        </w:rPr>
        <w:t xml:space="preserve">Goal: </w:t>
      </w:r>
      <w:r>
        <w:rPr>
          <w:rFonts w:ascii="Lato" w:cs="Lato" w:eastAsia="Lato" w:hAnsi="Lato"/>
          <w:color w:val="041E42"/>
          <w:sz w:val="21"/>
          <w:szCs w:val="21"/>
        </w:rPr>
        <w:t xml:space="preserve">The learner can conduct primary and secondary research into challenges affecting people and the planet to develop actionable insights.</w:t>
      </w:r>
    </w:p>
    <w:p>
      <w:pPr>
        <w:spacing w:after="100" w:before="240"/>
      </w:pPr>
      <w:r>
        <w:rPr>
          <w:rFonts w:ascii="Roboto" w:cs="Roboto" w:eastAsia="Roboto" w:hAnsi="Roboto"/>
          <w:b/>
          <w:bCs/>
          <w:color w:val="004976"/>
          <w:sz w:val="25"/>
          <w:szCs w:val="25"/>
        </w:rPr>
        <w:t xml:space="preserve">Case FSI1-01</w:t>
      </w:r>
    </w:p>
    <w:p>
      <w:pPr>
        <w:spacing w:after="120"/>
      </w:pPr>
      <w:r>
        <w:rPr>
          <w:rFonts w:ascii="Lato" w:cs="Lato" w:eastAsia="Lato" w:hAnsi="Lato"/>
          <w:i/>
          <w:iCs/>
          <w:color w:val="97999B"/>
          <w:sz w:val="21"/>
          <w:szCs w:val="21"/>
        </w:rPr>
        <w:t xml:space="preserve">Bilal  ·  Lebanon</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Bilal is a learner in Lebanon. His educator is assessing how he investigates real-world issues. The evidence comes from an activity where learners chose an issue to look into and from conversations in the weeks that followed.</w:t>
      </w:r>
    </w:p>
    <w:p>
      <w:pPr>
        <w:spacing w:after="80" w:before="40"/>
      </w:pPr>
      <w:r>
        <w:rPr>
          <w:rFonts w:ascii="Roboto" w:cs="Roboto" w:eastAsia="Roboto" w:hAnsi="Roboto"/>
          <w:b/>
          <w:bCs/>
          <w:caps/>
          <w:color w:val="97999B"/>
          <w:sz w:val="21"/>
          <w:szCs w:val="21"/>
        </w:rPr>
        <w:t xml:space="preserve">Evidence</w:t>
      </w:r>
    </w:p>
    <w:p>
      <w:pPr>
        <w:spacing w:after="140" w:line="276"/>
      </w:pPr>
      <w:r>
        <w:rPr>
          <w:rFonts w:ascii="Lato" w:cs="Lato" w:eastAsia="Lato" w:hAnsi="Lato"/>
          <w:b w:val="false"/>
          <w:bCs w:val="false"/>
          <w:i w:val="false"/>
          <w:iCs w:val="false"/>
          <w:color w:val="041E42"/>
          <w:sz w:val="21"/>
          <w:szCs w:val="21"/>
        </w:rPr>
        <w:t xml:space="preserve">In the activity, the educator reviewed what Bilal produced. He had named a topic, rubbish piling up in his neighbourhood, but had not framed a question about it or set down how he might find anything out. Where the sheet asked what he would look at and why, it was left blank.</w:t>
      </w:r>
    </w:p>
    <w:p>
      <w:pPr>
        <w:spacing w:after="140" w:line="276"/>
      </w:pPr>
      <w:r>
        <w:rPr>
          <w:rFonts w:ascii="Lato" w:cs="Lato" w:eastAsia="Lato" w:hAnsi="Lato"/>
          <w:b w:val="false"/>
          <w:bCs w:val="false"/>
          <w:i w:val="false"/>
          <w:iCs w:val="false"/>
          <w:color w:val="041E42"/>
          <w:sz w:val="21"/>
          <w:szCs w:val="21"/>
        </w:rPr>
        <w:t xml:space="preserve">In conversation, the educator asked Bilal how he might find out more about the problem, what he would look at, who he might ask, how he would judge whether what he found was reliable. He said he was not sure, maybe just look around, and could not describe any way of going about it. He did not distinguish between finding things out first-hand and drawing on what others had already gathered.</w:t>
      </w:r>
    </w:p>
    <w:p>
      <w:pPr>
        <w:spacing w:after="40"/>
      </w:pPr>
    </w:p>
    <w:tbl>
      <w:tblPr>
        <w:tblW w:type="dxa" w:w="9506"/>
        <w:tblBorders>
          <w:top w:val="none"/>
          <w:left w:val="none"/>
          <w:bottom w:val="none"/>
          <w:right w:val="none"/>
          <w:insideH w:val="none"/>
          <w:insideV w:val="none"/>
        </w:tblBorders>
      </w:tblPr>
      <w:tblGrid>
        <w:gridCol w:w="9506"/>
      </w:tblGrid>
      <w:tr>
        <w:tc>
          <w:tcPr>
            <w:tcW w:type="dxa" w:w="9506"/>
            <w:shd w:fill="F2F3F4" w:val="clear"/>
            <w:tcMar>
              <w:top w:type="dxa" w:w="140"/>
              <w:left w:type="dxa" w:w="200"/>
              <w:bottom w:type="dxa" w:w="140"/>
              <w:right w:type="dxa" w:w="200"/>
            </w:tcMar>
          </w:tcPr>
          <w:p>
            <w:pPr>
              <w:spacing w:after="140"/>
            </w:pPr>
            <w:r>
              <w:rPr>
                <w:rFonts w:ascii="Roboto" w:cs="Roboto" w:eastAsia="Roboto" w:hAnsi="Roboto"/>
                <w:b/>
                <w:bCs/>
                <w:color w:val="004976"/>
                <w:sz w:val="21"/>
                <w:szCs w:val="21"/>
              </w:rPr>
              <w:t xml:space="preserve">Your judgement</w:t>
            </w:r>
          </w:p>
          <w:p>
            <w:pPr>
              <w:spacing w:after="200"/>
            </w:pPr>
            <w:r>
              <w:rPr>
                <w:rFonts w:ascii="Lato" w:cs="Lato" w:eastAsia="Lato" w:hAnsi="Lato"/>
                <w:b/>
                <w:bCs/>
                <w:color w:val="041E42"/>
                <w:sz w:val="21"/>
                <w:szCs w:val="21"/>
              </w:rPr>
              <w:t xml:space="preserve">Level awarded:  </w:t>
            </w:r>
            <w:r>
              <w:rPr>
                <w:rFonts w:ascii="Lato" w:cs="Lato" w:eastAsia="Lato" w:hAnsi="Lato"/>
                <w:color w:val="97999B"/>
                <w:sz w:val="21"/>
                <w:szCs w:val="21"/>
              </w:rPr>
              <w:t xml:space="preserve">________________________</w:t>
            </w:r>
          </w:p>
          <w:p>
            <w:pPr>
              <w:spacing w:after="140"/>
            </w:pPr>
            <w:r>
              <w:rPr>
                <w:rFonts w:ascii="Lato" w:cs="Lato" w:eastAsia="Lato" w:hAnsi="Lato"/>
                <w:color w:val="041E42"/>
                <w:sz w:val="21"/>
                <w:szCs w:val="21"/>
              </w:rPr>
              <w:t xml:space="preserve">Your reasoning (tie the decision to what the evidence shows, across the sources):</w:t>
            </w:r>
          </w:p>
          <w:p>
            <w:pPr>
              <w:pBdr>
                <w:bottom w:val="single" w:color="97999B" w:sz="4" w:space="8"/>
              </w:pBdr>
              <w:spacing w:after="220"/>
            </w:pPr>
          </w:p>
          <w:p>
            <w:pPr>
              <w:pBdr>
                <w:bottom w:val="single" w:color="97999B" w:sz="4" w:space="8"/>
              </w:pBdr>
              <w:spacing w:after="220"/>
            </w:pPr>
          </w:p>
          <w:p>
            <w:pPr>
              <w:pBdr>
                <w:bottom w:val="single" w:color="97999B" w:sz="4" w:space="8"/>
              </w:pBdr>
              <w:spacing w:after="220"/>
            </w:pPr>
          </w:p>
          <w:p>
            <w:pPr>
              <w:pBdr>
                <w:bottom w:val="single" w:color="97999B" w:sz="4" w:space="8"/>
              </w:pBdr>
              <w:spacing w:after="40"/>
            </w:pPr>
          </w:p>
        </w:tc>
      </w:tr>
    </w:tbl>
    <w:p>
      <w:pPr>
        <w:spacing w:after="80"/>
      </w:pPr>
    </w:p>
    <w:p>
      <w:pPr>
        <w:spacing w:after="100" w:before="240"/>
      </w:pPr>
      <w:r>
        <w:rPr>
          <w:rFonts w:ascii="Roboto" w:cs="Roboto" w:eastAsia="Roboto" w:hAnsi="Roboto"/>
          <w:b/>
          <w:bCs/>
          <w:color w:val="004976"/>
          <w:sz w:val="25"/>
          <w:szCs w:val="25"/>
        </w:rPr>
        <w:t xml:space="preserve">Case FSI1-02</w:t>
      </w:r>
    </w:p>
    <w:p>
      <w:pPr>
        <w:spacing w:after="120"/>
      </w:pPr>
      <w:r>
        <w:rPr>
          <w:rFonts w:ascii="Lato" w:cs="Lato" w:eastAsia="Lato" w:hAnsi="Lato"/>
          <w:i/>
          <w:iCs/>
          <w:color w:val="97999B"/>
          <w:sz w:val="21"/>
          <w:szCs w:val="21"/>
        </w:rPr>
        <w:t xml:space="preserve">Grace  ·  Kampala, Uganda</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Grace is a learner in Kampala, Uganda. Her educator has seen that she plans research carefully, and is assessing how she investigates real-world issues. One issue in view is why many school leavers in her area struggle to find work.</w:t>
      </w:r>
    </w:p>
    <w:p>
      <w:pPr>
        <w:spacing w:after="80" w:before="40"/>
      </w:pPr>
      <w:r>
        <w:rPr>
          <w:rFonts w:ascii="Roboto" w:cs="Roboto" w:eastAsia="Roboto" w:hAnsi="Roboto"/>
          <w:b/>
          <w:bCs/>
          <w:caps/>
          <w:color w:val="97999B"/>
          <w:sz w:val="21"/>
          <w:szCs w:val="21"/>
        </w:rPr>
        <w:t xml:space="preserve">Evidence</w:t>
      </w:r>
    </w:p>
    <w:p>
      <w:pPr>
        <w:spacing w:after="140" w:line="276"/>
      </w:pPr>
      <w:r>
        <w:rPr>
          <w:rFonts w:ascii="Lato" w:cs="Lato" w:eastAsia="Lato" w:hAnsi="Lato"/>
          <w:b w:val="false"/>
          <w:bCs w:val="false"/>
          <w:i w:val="false"/>
          <w:iCs w:val="false"/>
          <w:color w:val="041E42"/>
          <w:sz w:val="21"/>
          <w:szCs w:val="21"/>
        </w:rPr>
        <w:t xml:space="preserve">The educator reviewed Grace’s inquiry plan. She had framed a clear question, why school leavers in her area struggle to find work, and set out how she would look into it: interview three recent leavers and two employers, and gather the local youth-service figures on jobs and training. She had written why she chose that mix, that hearing from both sides alongside the figures would give a fuller and more reliable picture than any one source alone.</w:t>
      </w:r>
    </w:p>
    <w:p>
      <w:pPr>
        <w:spacing w:after="140" w:line="276"/>
      </w:pPr>
      <w:r>
        <w:rPr>
          <w:rFonts w:ascii="Lato" w:cs="Lato" w:eastAsia="Lato" w:hAnsi="Lato"/>
          <w:b w:val="false"/>
          <w:bCs w:val="false"/>
          <w:i w:val="false"/>
          <w:iCs w:val="false"/>
          <w:color w:val="041E42"/>
          <w:sz w:val="21"/>
          <w:szCs w:val="21"/>
        </w:rPr>
        <w:t xml:space="preserve">In conversation, the educator asked Grace how she goes about investigating a question. She explained her thinking clearly, why she would draw on people directly and on existing figures, and how she would weigh what she was told against what the numbers showed.</w:t>
      </w:r>
    </w:p>
    <w:p>
      <w:pPr>
        <w:spacing w:after="140" w:line="276"/>
      </w:pPr>
      <w:r>
        <w:rPr>
          <w:rFonts w:ascii="Lato" w:cs="Lato" w:eastAsia="Lato" w:hAnsi="Lato"/>
          <w:b w:val="false"/>
          <w:bCs w:val="false"/>
          <w:i w:val="false"/>
          <w:iCs w:val="false"/>
          <w:color w:val="041E42"/>
          <w:sz w:val="21"/>
          <w:szCs w:val="21"/>
        </w:rPr>
        <w:t xml:space="preserve">Across the following weeks, though, the educator saw no sign she had started. No interviews had been arranged and no figures gathered; she said she was still meaning to begin.</w:t>
      </w:r>
    </w:p>
    <w:p>
      <w:pPr>
        <w:spacing w:after="140" w:line="276"/>
      </w:pPr>
      <w:r>
        <w:rPr>
          <w:rFonts w:ascii="Lato" w:cs="Lato" w:eastAsia="Lato" w:hAnsi="Lato"/>
          <w:b w:val="false"/>
          <w:bCs w:val="false"/>
          <w:i w:val="false"/>
          <w:iCs w:val="false"/>
          <w:color w:val="041E42"/>
          <w:sz w:val="21"/>
          <w:szCs w:val="21"/>
        </w:rPr>
        <w:t xml:space="preserve">Another educator mentioned that Grace had shown her the plan too and had twice refined it, but had not yet approached anyone.</w:t>
      </w:r>
    </w:p>
    <w:p>
      <w:pPr>
        <w:spacing w:after="40"/>
      </w:pPr>
    </w:p>
    <w:tbl>
      <w:tblPr>
        <w:tblW w:type="dxa" w:w="9506"/>
        <w:tblBorders>
          <w:top w:val="none"/>
          <w:left w:val="none"/>
          <w:bottom w:val="none"/>
          <w:right w:val="none"/>
          <w:insideH w:val="none"/>
          <w:insideV w:val="none"/>
        </w:tblBorders>
      </w:tblPr>
      <w:tblGrid>
        <w:gridCol w:w="9506"/>
      </w:tblGrid>
      <w:tr>
        <w:tc>
          <w:tcPr>
            <w:tcW w:type="dxa" w:w="9506"/>
            <w:shd w:fill="F2F3F4" w:val="clear"/>
            <w:tcMar>
              <w:top w:type="dxa" w:w="140"/>
              <w:left w:type="dxa" w:w="200"/>
              <w:bottom w:type="dxa" w:w="140"/>
              <w:right w:type="dxa" w:w="200"/>
            </w:tcMar>
          </w:tcPr>
          <w:p>
            <w:pPr>
              <w:spacing w:after="140"/>
            </w:pPr>
            <w:r>
              <w:rPr>
                <w:rFonts w:ascii="Roboto" w:cs="Roboto" w:eastAsia="Roboto" w:hAnsi="Roboto"/>
                <w:b/>
                <w:bCs/>
                <w:color w:val="004976"/>
                <w:sz w:val="21"/>
                <w:szCs w:val="21"/>
              </w:rPr>
              <w:t xml:space="preserve">Your judgement</w:t>
            </w:r>
          </w:p>
          <w:p>
            <w:pPr>
              <w:spacing w:after="200"/>
            </w:pPr>
            <w:r>
              <w:rPr>
                <w:rFonts w:ascii="Lato" w:cs="Lato" w:eastAsia="Lato" w:hAnsi="Lato"/>
                <w:b/>
                <w:bCs/>
                <w:color w:val="041E42"/>
                <w:sz w:val="21"/>
                <w:szCs w:val="21"/>
              </w:rPr>
              <w:t xml:space="preserve">Level awarded:  </w:t>
            </w:r>
            <w:r>
              <w:rPr>
                <w:rFonts w:ascii="Lato" w:cs="Lato" w:eastAsia="Lato" w:hAnsi="Lato"/>
                <w:color w:val="97999B"/>
                <w:sz w:val="21"/>
                <w:szCs w:val="21"/>
              </w:rPr>
              <w:t xml:space="preserve">________________________</w:t>
            </w:r>
          </w:p>
          <w:p>
            <w:pPr>
              <w:spacing w:after="140"/>
            </w:pPr>
            <w:r>
              <w:rPr>
                <w:rFonts w:ascii="Lato" w:cs="Lato" w:eastAsia="Lato" w:hAnsi="Lato"/>
                <w:color w:val="041E42"/>
                <w:sz w:val="21"/>
                <w:szCs w:val="21"/>
              </w:rPr>
              <w:t xml:space="preserve">Your reasoning (tie the decision to what the evidence shows, across the sources):</w:t>
            </w:r>
          </w:p>
          <w:p>
            <w:pPr>
              <w:pBdr>
                <w:bottom w:val="single" w:color="97999B" w:sz="4" w:space="8"/>
              </w:pBdr>
              <w:spacing w:after="220"/>
            </w:pPr>
          </w:p>
          <w:p>
            <w:pPr>
              <w:pBdr>
                <w:bottom w:val="single" w:color="97999B" w:sz="4" w:space="8"/>
              </w:pBdr>
              <w:spacing w:after="220"/>
            </w:pPr>
          </w:p>
          <w:p>
            <w:pPr>
              <w:pBdr>
                <w:bottom w:val="single" w:color="97999B" w:sz="4" w:space="8"/>
              </w:pBdr>
              <w:spacing w:after="220"/>
            </w:pPr>
          </w:p>
          <w:p>
            <w:pPr>
              <w:pBdr>
                <w:bottom w:val="single" w:color="97999B" w:sz="4" w:space="8"/>
              </w:pBdr>
              <w:spacing w:after="40"/>
            </w:pPr>
          </w:p>
        </w:tc>
      </w:tr>
    </w:tbl>
    <w:p>
      <w:pPr>
        <w:spacing w:after="80"/>
      </w:pPr>
    </w:p>
    <w:p>
      <w:pPr>
        <w:spacing w:after="100" w:before="240"/>
      </w:pPr>
      <w:r>
        <w:rPr>
          <w:rFonts w:ascii="Roboto" w:cs="Roboto" w:eastAsia="Roboto" w:hAnsi="Roboto"/>
          <w:b/>
          <w:bCs/>
          <w:color w:val="004976"/>
          <w:sz w:val="25"/>
          <w:szCs w:val="25"/>
        </w:rPr>
        <w:t xml:space="preserve">Case FSI1-03</w:t>
      </w:r>
    </w:p>
    <w:p>
      <w:pPr>
        <w:spacing w:after="120"/>
      </w:pPr>
      <w:r>
        <w:rPr>
          <w:rFonts w:ascii="Lato" w:cs="Lato" w:eastAsia="Lato" w:hAnsi="Lato"/>
          <w:i/>
          <w:iCs/>
          <w:color w:val="97999B"/>
          <w:sz w:val="21"/>
          <w:szCs w:val="21"/>
        </w:rPr>
        <w:t xml:space="preserve">Farah  ·  online</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Farah is an online learner. Her educator is assessing how she investigates real-world issues, drawing on an inquiry she has been carrying out into how false health advice spreads in the online groups she uses.</w:t>
      </w:r>
    </w:p>
    <w:p>
      <w:pPr>
        <w:spacing w:after="80" w:before="40"/>
      </w:pPr>
      <w:r>
        <w:rPr>
          <w:rFonts w:ascii="Roboto" w:cs="Roboto" w:eastAsia="Roboto" w:hAnsi="Roboto"/>
          <w:b/>
          <w:bCs/>
          <w:caps/>
          <w:color w:val="97999B"/>
          <w:sz w:val="21"/>
          <w:szCs w:val="21"/>
        </w:rPr>
        <w:t xml:space="preserve">Evidence</w:t>
      </w:r>
    </w:p>
    <w:p>
      <w:pPr>
        <w:spacing w:after="140" w:line="276"/>
      </w:pPr>
      <w:r>
        <w:rPr>
          <w:rFonts w:ascii="Lato" w:cs="Lato" w:eastAsia="Lato" w:hAnsi="Lato"/>
          <w:b w:val="false"/>
          <w:bCs w:val="false"/>
          <w:i w:val="false"/>
          <w:iCs w:val="false"/>
          <w:color w:val="041E42"/>
          <w:sz w:val="21"/>
          <w:szCs w:val="21"/>
        </w:rPr>
        <w:t xml:space="preserve">The educator reviewed the question Farah set and her approach: she would collect examples of health claims from her groups over two weeks, note where each had come from, and check several against a trusted health source. She reasoned that seeing where claims originated, and testing them against reliable information, would show how the false ones spread.</w:t>
      </w:r>
    </w:p>
    <w:p>
      <w:pPr>
        <w:spacing w:after="140" w:line="276"/>
      </w:pPr>
      <w:r>
        <w:rPr>
          <w:rFonts w:ascii="Lato" w:cs="Lato" w:eastAsia="Lato" w:hAnsi="Lato"/>
          <w:b w:val="false"/>
          <w:bCs w:val="false"/>
          <w:i w:val="false"/>
          <w:iCs w:val="false"/>
          <w:color w:val="041E42"/>
          <w:sz w:val="21"/>
          <w:szCs w:val="21"/>
        </w:rPr>
        <w:t xml:space="preserve">The educator saw Farah carry this out. She gathered a set of examples first-hand, logged their sources, and checked a number of them against the health source she had chosen. She could explain why she had gone about it that way.</w:t>
      </w:r>
    </w:p>
    <w:p>
      <w:pPr>
        <w:spacing w:after="140" w:line="276"/>
      </w:pPr>
      <w:r>
        <w:rPr>
          <w:rFonts w:ascii="Lato" w:cs="Lato" w:eastAsia="Lato" w:hAnsi="Lato"/>
          <w:b w:val="false"/>
          <w:bCs w:val="false"/>
          <w:i w:val="false"/>
          <w:iCs w:val="false"/>
          <w:color w:val="041E42"/>
          <w:sz w:val="21"/>
          <w:szCs w:val="21"/>
        </w:rPr>
        <w:t xml:space="preserve">In the short reflection Farah submitted with her collection, she recounted the steps she had taken and why, but stopped there: she did not say what had worked well or badly in how she had gone about the research, or what she might do differently. The collection itself gathered the examples and their sources but did not draw them into any account of how the false advice spreads or what might reduce it.</w:t>
      </w:r>
    </w:p>
    <w:p>
      <w:pPr>
        <w:spacing w:after="40"/>
      </w:pPr>
    </w:p>
    <w:tbl>
      <w:tblPr>
        <w:tblW w:type="dxa" w:w="9506"/>
        <w:tblBorders>
          <w:top w:val="none"/>
          <w:left w:val="none"/>
          <w:bottom w:val="none"/>
          <w:right w:val="none"/>
          <w:insideH w:val="none"/>
          <w:insideV w:val="none"/>
        </w:tblBorders>
      </w:tblPr>
      <w:tblGrid>
        <w:gridCol w:w="9506"/>
      </w:tblGrid>
      <w:tr>
        <w:tc>
          <w:tcPr>
            <w:tcW w:type="dxa" w:w="9506"/>
            <w:shd w:fill="F2F3F4" w:val="clear"/>
            <w:tcMar>
              <w:top w:type="dxa" w:w="140"/>
              <w:left w:type="dxa" w:w="200"/>
              <w:bottom w:type="dxa" w:w="140"/>
              <w:right w:type="dxa" w:w="200"/>
            </w:tcMar>
          </w:tcPr>
          <w:p>
            <w:pPr>
              <w:spacing w:after="140"/>
            </w:pPr>
            <w:r>
              <w:rPr>
                <w:rFonts w:ascii="Roboto" w:cs="Roboto" w:eastAsia="Roboto" w:hAnsi="Roboto"/>
                <w:b/>
                <w:bCs/>
                <w:color w:val="004976"/>
                <w:sz w:val="21"/>
                <w:szCs w:val="21"/>
              </w:rPr>
              <w:t xml:space="preserve">Your judgement</w:t>
            </w:r>
          </w:p>
          <w:p>
            <w:pPr>
              <w:spacing w:after="200"/>
            </w:pPr>
            <w:r>
              <w:rPr>
                <w:rFonts w:ascii="Lato" w:cs="Lato" w:eastAsia="Lato" w:hAnsi="Lato"/>
                <w:b/>
                <w:bCs/>
                <w:color w:val="041E42"/>
                <w:sz w:val="21"/>
                <w:szCs w:val="21"/>
              </w:rPr>
              <w:t xml:space="preserve">Level awarded:  </w:t>
            </w:r>
            <w:r>
              <w:rPr>
                <w:rFonts w:ascii="Lato" w:cs="Lato" w:eastAsia="Lato" w:hAnsi="Lato"/>
                <w:color w:val="97999B"/>
                <w:sz w:val="21"/>
                <w:szCs w:val="21"/>
              </w:rPr>
              <w:t xml:space="preserve">________________________</w:t>
            </w:r>
          </w:p>
          <w:p>
            <w:pPr>
              <w:spacing w:after="140"/>
            </w:pPr>
            <w:r>
              <w:rPr>
                <w:rFonts w:ascii="Lato" w:cs="Lato" w:eastAsia="Lato" w:hAnsi="Lato"/>
                <w:color w:val="041E42"/>
                <w:sz w:val="21"/>
                <w:szCs w:val="21"/>
              </w:rPr>
              <w:t xml:space="preserve">Your reasoning (tie the decision to what the evidence shows, across the sources):</w:t>
            </w:r>
          </w:p>
          <w:p>
            <w:pPr>
              <w:pBdr>
                <w:bottom w:val="single" w:color="97999B" w:sz="4" w:space="8"/>
              </w:pBdr>
              <w:spacing w:after="220"/>
            </w:pPr>
          </w:p>
          <w:p>
            <w:pPr>
              <w:pBdr>
                <w:bottom w:val="single" w:color="97999B" w:sz="4" w:space="8"/>
              </w:pBdr>
              <w:spacing w:after="220"/>
            </w:pPr>
          </w:p>
          <w:p>
            <w:pPr>
              <w:pBdr>
                <w:bottom w:val="single" w:color="97999B" w:sz="4" w:space="8"/>
              </w:pBdr>
              <w:spacing w:after="220"/>
            </w:pPr>
          </w:p>
          <w:p>
            <w:pPr>
              <w:pBdr>
                <w:bottom w:val="single" w:color="97999B" w:sz="4" w:space="8"/>
              </w:pBdr>
              <w:spacing w:after="40"/>
            </w:pPr>
          </w:p>
        </w:tc>
      </w:tr>
    </w:tbl>
    <w:p>
      <w:pPr>
        <w:spacing w:after="80"/>
      </w:pPr>
    </w:p>
    <w:p>
      <w:pPr>
        <w:spacing w:after="100" w:before="240"/>
      </w:pPr>
      <w:r>
        <w:rPr>
          <w:rFonts w:ascii="Roboto" w:cs="Roboto" w:eastAsia="Roboto" w:hAnsi="Roboto"/>
          <w:b/>
          <w:bCs/>
          <w:color w:val="004976"/>
          <w:sz w:val="25"/>
          <w:szCs w:val="25"/>
        </w:rPr>
        <w:t xml:space="preserve">Case FSI1-04</w:t>
      </w:r>
    </w:p>
    <w:p>
      <w:pPr>
        <w:spacing w:after="120"/>
      </w:pPr>
      <w:r>
        <w:rPr>
          <w:rFonts w:ascii="Lato" w:cs="Lato" w:eastAsia="Lato" w:hAnsi="Lato"/>
          <w:i/>
          <w:iCs/>
          <w:color w:val="97999B"/>
          <w:sz w:val="21"/>
          <w:szCs w:val="21"/>
        </w:rPr>
        <w:t xml:space="preserve">Deng  ·  Kakuma, Kenya</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Deng is a learner in Kakuma, Kenya. His educator is assessing how he investigates real-world issues. The clearest evidence is one investigation he carried through this term: why some water points in his part of the camp run dry in the afternoons.</w:t>
      </w:r>
    </w:p>
    <w:p>
      <w:pPr>
        <w:spacing w:after="80" w:before="40"/>
      </w:pPr>
      <w:r>
        <w:rPr>
          <w:rFonts w:ascii="Roboto" w:cs="Roboto" w:eastAsia="Roboto" w:hAnsi="Roboto"/>
          <w:b/>
          <w:bCs/>
          <w:caps/>
          <w:color w:val="97999B"/>
          <w:sz w:val="21"/>
          <w:szCs w:val="21"/>
        </w:rPr>
        <w:t xml:space="preserve">Evidence</w:t>
      </w:r>
    </w:p>
    <w:p>
      <w:pPr>
        <w:spacing w:after="140" w:line="276"/>
      </w:pPr>
      <w:r>
        <w:rPr>
          <w:rFonts w:ascii="Lato" w:cs="Lato" w:eastAsia="Lato" w:hAnsi="Lato"/>
          <w:b w:val="false"/>
          <w:bCs w:val="false"/>
          <w:i w:val="false"/>
          <w:iCs w:val="false"/>
          <w:color w:val="041E42"/>
          <w:sz w:val="21"/>
          <w:szCs w:val="21"/>
        </w:rPr>
        <w:t xml:space="preserve">The educator reviewed the question Deng set and his approach: he would time the flow at three water points across a week and interview families who queued, and would check the posted pumping schedule and any supply records he could obtain. He reasoned that setting what he measured himself against the existing records would explain the pattern rather than guess at it.</w:t>
      </w:r>
    </w:p>
    <w:p>
      <w:pPr>
        <w:spacing w:after="140" w:line="276"/>
      </w:pPr>
      <w:r>
        <w:rPr>
          <w:rFonts w:ascii="Lato" w:cs="Lato" w:eastAsia="Lato" w:hAnsi="Lato"/>
          <w:b w:val="false"/>
          <w:bCs w:val="false"/>
          <w:i w:val="false"/>
          <w:iCs w:val="false"/>
          <w:color w:val="041E42"/>
          <w:sz w:val="21"/>
          <w:szCs w:val="21"/>
        </w:rPr>
        <w:t xml:space="preserve">The educator saw him carry it through. His timings and interviews, set against the pumping schedule, showed the afternoon shortfall followed a scheduled pumping gap rather than the overuse that had been assumed, and he proposed telling the worst-affected families the timing so they could collect earlier.</w:t>
      </w:r>
    </w:p>
    <w:p>
      <w:pPr>
        <w:spacing w:after="140" w:line="276"/>
      </w:pPr>
      <w:r>
        <w:rPr>
          <w:rFonts w:ascii="Lato" w:cs="Lato" w:eastAsia="Lato" w:hAnsi="Lato"/>
          <w:b w:val="false"/>
          <w:bCs w:val="false"/>
          <w:i w:val="false"/>
          <w:iCs w:val="false"/>
          <w:color w:val="041E42"/>
          <w:sz w:val="21"/>
          <w:szCs w:val="21"/>
        </w:rPr>
        <w:t xml:space="preserve">When Deng presented his investigation to the group, he spent as much time on how he had gone about it as on what he found. Measuring the flow himself, he said, had kept him from taking the common view that the points ran dry because people overused them, since his own timings showed steady use through the day and a drop only when the pump was off. He was also open about a limit in his method: he had spoken only to families collecting in the afternoon, so he had heard nothing from morning users, and he said that if he ran it again he would talk to people across the whole day.</w:t>
      </w:r>
    </w:p>
    <w:p>
      <w:pPr>
        <w:spacing w:after="40"/>
      </w:pPr>
    </w:p>
    <w:tbl>
      <w:tblPr>
        <w:tblW w:type="dxa" w:w="9506"/>
        <w:tblBorders>
          <w:top w:val="none"/>
          <w:left w:val="none"/>
          <w:bottom w:val="none"/>
          <w:right w:val="none"/>
          <w:insideH w:val="none"/>
          <w:insideV w:val="none"/>
        </w:tblBorders>
      </w:tblPr>
      <w:tblGrid>
        <w:gridCol w:w="9506"/>
      </w:tblGrid>
      <w:tr>
        <w:tc>
          <w:tcPr>
            <w:tcW w:type="dxa" w:w="9506"/>
            <w:shd w:fill="F2F3F4" w:val="clear"/>
            <w:tcMar>
              <w:top w:type="dxa" w:w="140"/>
              <w:left w:type="dxa" w:w="200"/>
              <w:bottom w:type="dxa" w:w="140"/>
              <w:right w:type="dxa" w:w="200"/>
            </w:tcMar>
          </w:tcPr>
          <w:p>
            <w:pPr>
              <w:spacing w:after="140"/>
            </w:pPr>
            <w:r>
              <w:rPr>
                <w:rFonts w:ascii="Roboto" w:cs="Roboto" w:eastAsia="Roboto" w:hAnsi="Roboto"/>
                <w:b/>
                <w:bCs/>
                <w:color w:val="004976"/>
                <w:sz w:val="21"/>
                <w:szCs w:val="21"/>
              </w:rPr>
              <w:t xml:space="preserve">Your judgement</w:t>
            </w:r>
          </w:p>
          <w:p>
            <w:pPr>
              <w:spacing w:after="200"/>
            </w:pPr>
            <w:r>
              <w:rPr>
                <w:rFonts w:ascii="Lato" w:cs="Lato" w:eastAsia="Lato" w:hAnsi="Lato"/>
                <w:b/>
                <w:bCs/>
                <w:color w:val="041E42"/>
                <w:sz w:val="21"/>
                <w:szCs w:val="21"/>
              </w:rPr>
              <w:t xml:space="preserve">Level awarded:  </w:t>
            </w:r>
            <w:r>
              <w:rPr>
                <w:rFonts w:ascii="Lato" w:cs="Lato" w:eastAsia="Lato" w:hAnsi="Lato"/>
                <w:color w:val="97999B"/>
                <w:sz w:val="21"/>
                <w:szCs w:val="21"/>
              </w:rPr>
              <w:t xml:space="preserve">________________________</w:t>
            </w:r>
          </w:p>
          <w:p>
            <w:pPr>
              <w:spacing w:after="140"/>
            </w:pPr>
            <w:r>
              <w:rPr>
                <w:rFonts w:ascii="Lato" w:cs="Lato" w:eastAsia="Lato" w:hAnsi="Lato"/>
                <w:color w:val="041E42"/>
                <w:sz w:val="21"/>
                <w:szCs w:val="21"/>
              </w:rPr>
              <w:t xml:space="preserve">Your reasoning (tie the decision to what the evidence shows, across the sources):</w:t>
            </w:r>
          </w:p>
          <w:p>
            <w:pPr>
              <w:pBdr>
                <w:bottom w:val="single" w:color="97999B" w:sz="4" w:space="8"/>
              </w:pBdr>
              <w:spacing w:after="220"/>
            </w:pPr>
          </w:p>
          <w:p>
            <w:pPr>
              <w:pBdr>
                <w:bottom w:val="single" w:color="97999B" w:sz="4" w:space="8"/>
              </w:pBdr>
              <w:spacing w:after="220"/>
            </w:pPr>
          </w:p>
          <w:p>
            <w:pPr>
              <w:pBdr>
                <w:bottom w:val="single" w:color="97999B" w:sz="4" w:space="8"/>
              </w:pBdr>
              <w:spacing w:after="220"/>
            </w:pPr>
          </w:p>
          <w:p>
            <w:pPr>
              <w:pBdr>
                <w:bottom w:val="single" w:color="97999B" w:sz="4" w:space="8"/>
              </w:pBdr>
              <w:spacing w:after="40"/>
            </w:pPr>
          </w:p>
        </w:tc>
      </w:tr>
    </w:tbl>
    <w:p>
      <w:pPr>
        <w:spacing w:after="80"/>
      </w:pPr>
    </w:p>
    <w:p>
      <w:pPr>
        <w:spacing w:after="100" w:before="240"/>
      </w:pPr>
      <w:r>
        <w:rPr>
          <w:rFonts w:ascii="Roboto" w:cs="Roboto" w:eastAsia="Roboto" w:hAnsi="Roboto"/>
          <w:b/>
          <w:bCs/>
          <w:color w:val="004976"/>
          <w:sz w:val="25"/>
          <w:szCs w:val="25"/>
        </w:rPr>
        <w:t xml:space="preserve">Case FSI1-05</w:t>
      </w:r>
    </w:p>
    <w:p>
      <w:pPr>
        <w:spacing w:after="120"/>
      </w:pPr>
      <w:r>
        <w:rPr>
          <w:rFonts w:ascii="Lato" w:cs="Lato" w:eastAsia="Lato" w:hAnsi="Lato"/>
          <w:i/>
          <w:iCs/>
          <w:color w:val="97999B"/>
          <w:sz w:val="21"/>
          <w:szCs w:val="21"/>
        </w:rPr>
        <w:t xml:space="preserve">Anwar  ·  Cox’s Bazar, Bangladesh</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Anwar is a learner in Cox’s Bazar, Bangladesh. His educator has seen him investigate real-world issues in more than one situation across the year, and is assessing the competency across that fuller picture. Two clear instances are falling attendance at a learning centre and, later, rising food prices in the local market.</w:t>
      </w:r>
    </w:p>
    <w:p>
      <w:pPr>
        <w:spacing w:after="80" w:before="40"/>
      </w:pPr>
      <w:r>
        <w:rPr>
          <w:rFonts w:ascii="Roboto" w:cs="Roboto" w:eastAsia="Roboto" w:hAnsi="Roboto"/>
          <w:b/>
          <w:bCs/>
          <w:caps/>
          <w:color w:val="97999B"/>
          <w:sz w:val="21"/>
          <w:szCs w:val="21"/>
        </w:rPr>
        <w:t xml:space="preserve">Evidence</w:t>
      </w:r>
    </w:p>
    <w:p>
      <w:pPr>
        <w:spacing w:after="140" w:line="276"/>
      </w:pPr>
      <w:r>
        <w:rPr>
          <w:rFonts w:ascii="Lato" w:cs="Lato" w:eastAsia="Lato" w:hAnsi="Lato"/>
          <w:b w:val="false"/>
          <w:bCs w:val="false"/>
          <w:i w:val="false"/>
          <w:iCs w:val="false"/>
          <w:color w:val="041E42"/>
          <w:sz w:val="21"/>
          <w:szCs w:val="21"/>
        </w:rPr>
        <w:t xml:space="preserve">The educator reviewed the questions Anwar set for each investigation and his approach to both, and noted that the second plan carried a deliberate fix for a problem he had hit in the first.</w:t>
      </w:r>
    </w:p>
    <w:p>
      <w:pPr>
        <w:spacing w:after="140" w:line="276"/>
      </w:pPr>
      <w:r>
        <w:rPr>
          <w:rFonts w:ascii="Lato" w:cs="Lato" w:eastAsia="Lato" w:hAnsi="Lato"/>
          <w:b w:val="false"/>
          <w:bCs w:val="false"/>
          <w:i w:val="false"/>
          <w:iCs w:val="false"/>
          <w:color w:val="041E42"/>
          <w:sz w:val="21"/>
          <w:szCs w:val="21"/>
        </w:rPr>
        <w:t xml:space="preserve">For the attendance investigation, the educator saw him draw together the centre’s register records and interviews with families, and reach a finding staff had not expected: attendance fell on market days, when older children worked, rather than from loss of interest, and he suggested timetabling around market days.</w:t>
      </w:r>
    </w:p>
    <w:p>
      <w:pPr>
        <w:spacing w:after="140" w:line="276"/>
      </w:pPr>
      <w:r>
        <w:rPr>
          <w:rFonts w:ascii="Lato" w:cs="Lato" w:eastAsia="Lato" w:hAnsi="Lato"/>
          <w:b w:val="false"/>
          <w:bCs w:val="false"/>
          <w:i w:val="false"/>
          <w:iCs w:val="false"/>
          <w:color w:val="041E42"/>
          <w:sz w:val="21"/>
          <w:szCs w:val="21"/>
        </w:rPr>
        <w:t xml:space="preserve">Later, for the food-price investigation, Anwar tracked prices across several stalls over a month and set them against what two traders told him and a market price bulletin, and found the rises were driven by a disruption to a supply route rather than local hoarding.</w:t>
      </w:r>
    </w:p>
    <w:p>
      <w:pPr>
        <w:spacing w:after="140" w:line="276"/>
      </w:pPr>
      <w:r>
        <w:rPr>
          <w:rFonts w:ascii="Lato" w:cs="Lato" w:eastAsia="Lato" w:hAnsi="Lato"/>
          <w:b w:val="false"/>
          <w:bCs w:val="false"/>
          <w:i w:val="false"/>
          <w:iCs w:val="false"/>
          <w:color w:val="041E42"/>
          <w:sz w:val="21"/>
          <w:szCs w:val="21"/>
        </w:rPr>
        <w:t xml:space="preserve">At a competency showcase where learners presented an investigation, Anwar used both of his to talk about how he had changed his method. In the attendance study, he said, he had relied mostly on what families told him and had nearly missed what the registers showed about market days; so in the price study he set his own daily price records against the traders’ accounts and the market bulletin from the outset, which let him set aside the hoarding explanation quickly once the figures pointed to the supply route. He could say plainly what he had carried from the first investigation into the second.</w:t>
      </w:r>
    </w:p>
    <w:p>
      <w:pPr>
        <w:spacing w:after="40"/>
      </w:pPr>
    </w:p>
    <w:tbl>
      <w:tblPr>
        <w:tblW w:type="dxa" w:w="9506"/>
        <w:tblBorders>
          <w:top w:val="none"/>
          <w:left w:val="none"/>
          <w:bottom w:val="none"/>
          <w:right w:val="none"/>
          <w:insideH w:val="none"/>
          <w:insideV w:val="none"/>
        </w:tblBorders>
      </w:tblPr>
      <w:tblGrid>
        <w:gridCol w:w="9506"/>
      </w:tblGrid>
      <w:tr>
        <w:tc>
          <w:tcPr>
            <w:tcW w:type="dxa" w:w="9506"/>
            <w:shd w:fill="F2F3F4" w:val="clear"/>
            <w:tcMar>
              <w:top w:type="dxa" w:w="140"/>
              <w:left w:type="dxa" w:w="200"/>
              <w:bottom w:type="dxa" w:w="140"/>
              <w:right w:type="dxa" w:w="200"/>
            </w:tcMar>
          </w:tcPr>
          <w:p>
            <w:pPr>
              <w:spacing w:after="140"/>
            </w:pPr>
            <w:r>
              <w:rPr>
                <w:rFonts w:ascii="Roboto" w:cs="Roboto" w:eastAsia="Roboto" w:hAnsi="Roboto"/>
                <w:b/>
                <w:bCs/>
                <w:color w:val="004976"/>
                <w:sz w:val="21"/>
                <w:szCs w:val="21"/>
              </w:rPr>
              <w:t xml:space="preserve">Your judgement</w:t>
            </w:r>
          </w:p>
          <w:p>
            <w:pPr>
              <w:spacing w:after="200"/>
            </w:pPr>
            <w:r>
              <w:rPr>
                <w:rFonts w:ascii="Lato" w:cs="Lato" w:eastAsia="Lato" w:hAnsi="Lato"/>
                <w:b/>
                <w:bCs/>
                <w:color w:val="041E42"/>
                <w:sz w:val="21"/>
                <w:szCs w:val="21"/>
              </w:rPr>
              <w:t xml:space="preserve">Level awarded:  </w:t>
            </w:r>
            <w:r>
              <w:rPr>
                <w:rFonts w:ascii="Lato" w:cs="Lato" w:eastAsia="Lato" w:hAnsi="Lato"/>
                <w:color w:val="97999B"/>
                <w:sz w:val="21"/>
                <w:szCs w:val="21"/>
              </w:rPr>
              <w:t xml:space="preserve">________________________</w:t>
            </w:r>
          </w:p>
          <w:p>
            <w:pPr>
              <w:spacing w:after="140"/>
            </w:pPr>
            <w:r>
              <w:rPr>
                <w:rFonts w:ascii="Lato" w:cs="Lato" w:eastAsia="Lato" w:hAnsi="Lato"/>
                <w:color w:val="041E42"/>
                <w:sz w:val="21"/>
                <w:szCs w:val="21"/>
              </w:rPr>
              <w:t xml:space="preserve">Your reasoning (tie the decision to what the evidence shows, across the sources):</w:t>
            </w:r>
          </w:p>
          <w:p>
            <w:pPr>
              <w:pBdr>
                <w:bottom w:val="single" w:color="97999B" w:sz="4" w:space="8"/>
              </w:pBdr>
              <w:spacing w:after="220"/>
            </w:pPr>
          </w:p>
          <w:p>
            <w:pPr>
              <w:pBdr>
                <w:bottom w:val="single" w:color="97999B" w:sz="4" w:space="8"/>
              </w:pBdr>
              <w:spacing w:after="220"/>
            </w:pPr>
          </w:p>
          <w:p>
            <w:pPr>
              <w:pBdr>
                <w:bottom w:val="single" w:color="97999B" w:sz="4" w:space="8"/>
              </w:pBdr>
              <w:spacing w:after="220"/>
            </w:pPr>
          </w:p>
          <w:p>
            <w:pPr>
              <w:pBdr>
                <w:bottom w:val="single" w:color="97999B" w:sz="4" w:space="8"/>
              </w:pBdr>
              <w:spacing w:after="40"/>
            </w:pPr>
          </w:p>
        </w:tc>
      </w:tr>
    </w:tbl>
    <w:p>
      <w:pPr>
        <w:spacing w:after="80"/>
      </w:pPr>
    </w:p>
    <w:p>
      <w:pPr>
        <w:pBdr>
          <w:bottom w:val="single" w:color="8F993E" w:sz="6" w:space="4"/>
        </w:pBdr>
        <w:spacing w:after="100" w:before="260"/>
      </w:pPr>
      <w:r>
        <w:rPr>
          <w:rFonts w:ascii="Roboto" w:cs="Roboto" w:eastAsia="Roboto" w:hAnsi="Roboto"/>
          <w:b/>
          <w:bCs/>
          <w:color w:val="004976"/>
          <w:sz w:val="30"/>
          <w:szCs w:val="30"/>
        </w:rPr>
        <w:t xml:space="preserve">Fostering connection and belonging</w:t>
      </w:r>
    </w:p>
    <w:p>
      <w:pPr>
        <w:spacing w:after="60"/>
      </w:pPr>
      <w:r>
        <w:rPr>
          <w:rFonts w:ascii="Lato" w:cs="Lato" w:eastAsia="Lato" w:hAnsi="Lato"/>
          <w:color w:val="97999B"/>
          <w:sz w:val="20"/>
          <w:szCs w:val="20"/>
        </w:rPr>
        <w:t xml:space="preserve">FLC2  ·  Foundational  ·  Leading Change</w:t>
      </w:r>
    </w:p>
    <w:p>
      <w:pPr>
        <w:spacing w:after="160"/>
      </w:pPr>
      <w:r>
        <w:rPr>
          <w:rFonts w:ascii="Lato" w:cs="Lato" w:eastAsia="Lato" w:hAnsi="Lato"/>
          <w:b/>
          <w:bCs/>
          <w:color w:val="004976"/>
          <w:sz w:val="21"/>
          <w:szCs w:val="21"/>
        </w:rPr>
        <w:t xml:space="preserve">Goal: </w:t>
      </w:r>
      <w:r>
        <w:rPr>
          <w:rFonts w:ascii="Lato" w:cs="Lato" w:eastAsia="Lato" w:hAnsi="Lato"/>
          <w:color w:val="041E42"/>
          <w:sz w:val="21"/>
          <w:szCs w:val="21"/>
        </w:rPr>
        <w:t xml:space="preserve">The learner can cultivate the conditions that enable people to feel part of a community working towards a shared goal for positive change.</w:t>
      </w:r>
    </w:p>
    <w:p>
      <w:pPr>
        <w:spacing w:after="100" w:before="240"/>
      </w:pPr>
      <w:r>
        <w:rPr>
          <w:rFonts w:ascii="Roboto" w:cs="Roboto" w:eastAsia="Roboto" w:hAnsi="Roboto"/>
          <w:b/>
          <w:bCs/>
          <w:color w:val="004976"/>
          <w:sz w:val="25"/>
          <w:szCs w:val="25"/>
        </w:rPr>
        <w:t xml:space="preserve">Case FLC2-01</w:t>
      </w:r>
    </w:p>
    <w:p>
      <w:pPr>
        <w:spacing w:after="120"/>
      </w:pPr>
      <w:r>
        <w:rPr>
          <w:rFonts w:ascii="Lato" w:cs="Lato" w:eastAsia="Lato" w:hAnsi="Lato"/>
          <w:i/>
          <w:iCs/>
          <w:color w:val="97999B"/>
          <w:sz w:val="21"/>
          <w:szCs w:val="21"/>
        </w:rPr>
        <w:t xml:space="preserve">Karim  ·  Jordan</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Karim is a learner in Jordan. His educator is assessing how he fosters connection and belonging among his peers. The evidence comes from group sessions and conversations in the first weeks of term.</w:t>
      </w:r>
    </w:p>
    <w:p>
      <w:pPr>
        <w:spacing w:after="80" w:before="40"/>
      </w:pPr>
      <w:r>
        <w:rPr>
          <w:rFonts w:ascii="Roboto" w:cs="Roboto" w:eastAsia="Roboto" w:hAnsi="Roboto"/>
          <w:b/>
          <w:bCs/>
          <w:caps/>
          <w:color w:val="97999B"/>
          <w:sz w:val="21"/>
          <w:szCs w:val="21"/>
        </w:rPr>
        <w:t xml:space="preserve">Evidence</w:t>
      </w:r>
    </w:p>
    <w:p>
      <w:pPr>
        <w:spacing w:after="140" w:line="276"/>
      </w:pPr>
      <w:r>
        <w:rPr>
          <w:rFonts w:ascii="Lato" w:cs="Lato" w:eastAsia="Lato" w:hAnsi="Lato"/>
          <w:b w:val="false"/>
          <w:bCs w:val="false"/>
          <w:i w:val="false"/>
          <w:iCs w:val="false"/>
          <w:color w:val="041E42"/>
          <w:sz w:val="21"/>
          <w:szCs w:val="21"/>
        </w:rPr>
        <w:t xml:space="preserve">In group work over the first weeks, the educator watched how Karim was with others. He took part in the tasks but stayed with one friend, and when a new member joined his table he carried on without acknowledging her. He did not seem to register who in the group was taking part and who was on the edge of it.</w:t>
      </w:r>
    </w:p>
    <w:p>
      <w:pPr>
        <w:spacing w:after="140" w:line="276"/>
      </w:pPr>
      <w:r>
        <w:rPr>
          <w:rFonts w:ascii="Lato" w:cs="Lato" w:eastAsia="Lato" w:hAnsi="Lato"/>
          <w:b w:val="false"/>
          <w:bCs w:val="false"/>
          <w:i w:val="false"/>
          <w:iCs w:val="false"/>
          <w:color w:val="041E42"/>
          <w:sz w:val="21"/>
          <w:szCs w:val="21"/>
        </w:rPr>
        <w:t xml:space="preserve">In conversation, the educator asked Karim how he might help someone new feel part of the group, what he could do or say. He said he was not sure, that this was more the facilitator’s job, and could not describe anything he would do to help another person feel included.</w:t>
      </w:r>
    </w:p>
    <w:p>
      <w:pPr>
        <w:spacing w:after="40"/>
      </w:pPr>
    </w:p>
    <w:tbl>
      <w:tblPr>
        <w:tblW w:type="dxa" w:w="9506"/>
        <w:tblBorders>
          <w:top w:val="none"/>
          <w:left w:val="none"/>
          <w:bottom w:val="none"/>
          <w:right w:val="none"/>
          <w:insideH w:val="none"/>
          <w:insideV w:val="none"/>
        </w:tblBorders>
      </w:tblPr>
      <w:tblGrid>
        <w:gridCol w:w="9506"/>
      </w:tblGrid>
      <w:tr>
        <w:tc>
          <w:tcPr>
            <w:tcW w:type="dxa" w:w="9506"/>
            <w:shd w:fill="F2F3F4" w:val="clear"/>
            <w:tcMar>
              <w:top w:type="dxa" w:w="140"/>
              <w:left w:type="dxa" w:w="200"/>
              <w:bottom w:type="dxa" w:w="140"/>
              <w:right w:type="dxa" w:w="200"/>
            </w:tcMar>
          </w:tcPr>
          <w:p>
            <w:pPr>
              <w:spacing w:after="140"/>
            </w:pPr>
            <w:r>
              <w:rPr>
                <w:rFonts w:ascii="Roboto" w:cs="Roboto" w:eastAsia="Roboto" w:hAnsi="Roboto"/>
                <w:b/>
                <w:bCs/>
                <w:color w:val="004976"/>
                <w:sz w:val="21"/>
                <w:szCs w:val="21"/>
              </w:rPr>
              <w:t xml:space="preserve">Your judgement</w:t>
            </w:r>
          </w:p>
          <w:p>
            <w:pPr>
              <w:spacing w:after="200"/>
            </w:pPr>
            <w:r>
              <w:rPr>
                <w:rFonts w:ascii="Lato" w:cs="Lato" w:eastAsia="Lato" w:hAnsi="Lato"/>
                <w:b/>
                <w:bCs/>
                <w:color w:val="041E42"/>
                <w:sz w:val="21"/>
                <w:szCs w:val="21"/>
              </w:rPr>
              <w:t xml:space="preserve">Level awarded:  </w:t>
            </w:r>
            <w:r>
              <w:rPr>
                <w:rFonts w:ascii="Lato" w:cs="Lato" w:eastAsia="Lato" w:hAnsi="Lato"/>
                <w:color w:val="97999B"/>
                <w:sz w:val="21"/>
                <w:szCs w:val="21"/>
              </w:rPr>
              <w:t xml:space="preserve">________________________</w:t>
            </w:r>
          </w:p>
          <w:p>
            <w:pPr>
              <w:spacing w:after="140"/>
            </w:pPr>
            <w:r>
              <w:rPr>
                <w:rFonts w:ascii="Lato" w:cs="Lato" w:eastAsia="Lato" w:hAnsi="Lato"/>
                <w:color w:val="041E42"/>
                <w:sz w:val="21"/>
                <w:szCs w:val="21"/>
              </w:rPr>
              <w:t xml:space="preserve">Your reasoning (tie the decision to what the evidence shows, across the sources):</w:t>
            </w:r>
          </w:p>
          <w:p>
            <w:pPr>
              <w:pBdr>
                <w:bottom w:val="single" w:color="97999B" w:sz="4" w:space="8"/>
              </w:pBdr>
              <w:spacing w:after="220"/>
            </w:pPr>
          </w:p>
          <w:p>
            <w:pPr>
              <w:pBdr>
                <w:bottom w:val="single" w:color="97999B" w:sz="4" w:space="8"/>
              </w:pBdr>
              <w:spacing w:after="220"/>
            </w:pPr>
          </w:p>
          <w:p>
            <w:pPr>
              <w:pBdr>
                <w:bottom w:val="single" w:color="97999B" w:sz="4" w:space="8"/>
              </w:pBdr>
              <w:spacing w:after="220"/>
            </w:pPr>
          </w:p>
          <w:p>
            <w:pPr>
              <w:pBdr>
                <w:bottom w:val="single" w:color="97999B" w:sz="4" w:space="8"/>
              </w:pBdr>
              <w:spacing w:after="40"/>
            </w:pPr>
          </w:p>
        </w:tc>
      </w:tr>
    </w:tbl>
    <w:p>
      <w:pPr>
        <w:spacing w:after="80"/>
      </w:pPr>
    </w:p>
    <w:p>
      <w:pPr>
        <w:spacing w:after="100" w:before="240"/>
      </w:pPr>
      <w:r>
        <w:rPr>
          <w:rFonts w:ascii="Roboto" w:cs="Roboto" w:eastAsia="Roboto" w:hAnsi="Roboto"/>
          <w:b/>
          <w:bCs/>
          <w:color w:val="004976"/>
          <w:sz w:val="25"/>
          <w:szCs w:val="25"/>
        </w:rPr>
        <w:t xml:space="preserve">Case FLC2-02</w:t>
      </w:r>
    </w:p>
    <w:p>
      <w:pPr>
        <w:spacing w:after="120"/>
      </w:pPr>
      <w:r>
        <w:rPr>
          <w:rFonts w:ascii="Lato" w:cs="Lato" w:eastAsia="Lato" w:hAnsi="Lato"/>
          <w:i/>
          <w:iCs/>
          <w:color w:val="97999B"/>
          <w:sz w:val="21"/>
          <w:szCs w:val="21"/>
        </w:rPr>
        <w:t xml:space="preserve">Fatima  ·  Nairobi, Kenya</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Fatima is a learner in Nairobi, Kenya. Her educator has seen that she thinks carefully about how groups work, and is assessing how she fosters connection and belonging. A situation in view is a new intake joining her cohort, some of whom speak a different first language.</w:t>
      </w:r>
    </w:p>
    <w:p>
      <w:pPr>
        <w:spacing w:after="80" w:before="40"/>
      </w:pPr>
      <w:r>
        <w:rPr>
          <w:rFonts w:ascii="Roboto" w:cs="Roboto" w:eastAsia="Roboto" w:hAnsi="Roboto"/>
          <w:b/>
          <w:bCs/>
          <w:caps/>
          <w:color w:val="97999B"/>
          <w:sz w:val="21"/>
          <w:szCs w:val="21"/>
        </w:rPr>
        <w:t xml:space="preserve">Evidence</w:t>
      </w:r>
    </w:p>
    <w:p>
      <w:pPr>
        <w:spacing w:after="140" w:line="276"/>
      </w:pPr>
      <w:r>
        <w:rPr>
          <w:rFonts w:ascii="Lato" w:cs="Lato" w:eastAsia="Lato" w:hAnsi="Lato"/>
          <w:b w:val="false"/>
          <w:bCs w:val="false"/>
          <w:i w:val="false"/>
          <w:iCs w:val="false"/>
          <w:color w:val="041E42"/>
          <w:sz w:val="21"/>
          <w:szCs w:val="21"/>
        </w:rPr>
        <w:t xml:space="preserve">The educator reviewed a plan Fatima wrote when the cohort discussed welcoming the new intake. She set out a clear approach: pair each newcomer with an existing member, open each session with a short shared activity, and use both languages in the room so no one was shut out. She explained why, that people take part when they feel known and can follow, so pairing and language were where it mattered most.</w:t>
      </w:r>
    </w:p>
    <w:p>
      <w:pPr>
        <w:spacing w:after="140" w:line="276"/>
      </w:pPr>
      <w:r>
        <w:rPr>
          <w:rFonts w:ascii="Lato" w:cs="Lato" w:eastAsia="Lato" w:hAnsi="Lato"/>
          <w:b w:val="false"/>
          <w:bCs w:val="false"/>
          <w:i w:val="false"/>
          <w:iCs w:val="false"/>
          <w:color w:val="041E42"/>
          <w:sz w:val="21"/>
          <w:szCs w:val="21"/>
        </w:rPr>
        <w:t xml:space="preserve">In conversation, the educator asked Fatima more broadly how she goes about helping people feel they belong. She spoke thoughtfully, describing how she would notice who was on the edge of a group and why she would bring them in through others rather than singling them out.</w:t>
      </w:r>
    </w:p>
    <w:p>
      <w:pPr>
        <w:spacing w:after="140" w:line="276"/>
      </w:pPr>
      <w:r>
        <w:rPr>
          <w:rFonts w:ascii="Lato" w:cs="Lato" w:eastAsia="Lato" w:hAnsi="Lato"/>
          <w:b w:val="false"/>
          <w:bCs w:val="false"/>
          <w:i w:val="false"/>
          <w:iCs w:val="false"/>
          <w:color w:val="041E42"/>
          <w:sz w:val="21"/>
          <w:szCs w:val="21"/>
        </w:rPr>
        <w:t xml:space="preserve">Across the following weeks, though, the educator saw Fatima do none of it. She sat with her usual friends, the newcomers stayed on the margins, and no pairing or shared opening happened. Asked about it, she said she had meant to but it felt awkward to start.</w:t>
      </w:r>
    </w:p>
    <w:p>
      <w:pPr>
        <w:spacing w:after="140" w:line="276"/>
      </w:pPr>
      <w:r>
        <w:rPr>
          <w:rFonts w:ascii="Lato" w:cs="Lato" w:eastAsia="Lato" w:hAnsi="Lato"/>
          <w:b w:val="false"/>
          <w:bCs w:val="false"/>
          <w:i w:val="false"/>
          <w:iCs w:val="false"/>
          <w:color w:val="041E42"/>
          <w:sz w:val="21"/>
          <w:szCs w:val="21"/>
        </w:rPr>
        <w:t xml:space="preserve">A peer noted that Fatima had good ideas about including people but had not actually reached out to any of the new members.</w:t>
      </w:r>
    </w:p>
    <w:p>
      <w:pPr>
        <w:spacing w:after="40"/>
      </w:pPr>
    </w:p>
    <w:tbl>
      <w:tblPr>
        <w:tblW w:type="dxa" w:w="9506"/>
        <w:tblBorders>
          <w:top w:val="none"/>
          <w:left w:val="none"/>
          <w:bottom w:val="none"/>
          <w:right w:val="none"/>
          <w:insideH w:val="none"/>
          <w:insideV w:val="none"/>
        </w:tblBorders>
      </w:tblPr>
      <w:tblGrid>
        <w:gridCol w:w="9506"/>
      </w:tblGrid>
      <w:tr>
        <w:tc>
          <w:tcPr>
            <w:tcW w:type="dxa" w:w="9506"/>
            <w:shd w:fill="F2F3F4" w:val="clear"/>
            <w:tcMar>
              <w:top w:type="dxa" w:w="140"/>
              <w:left w:type="dxa" w:w="200"/>
              <w:bottom w:type="dxa" w:w="140"/>
              <w:right w:type="dxa" w:w="200"/>
            </w:tcMar>
          </w:tcPr>
          <w:p>
            <w:pPr>
              <w:spacing w:after="140"/>
            </w:pPr>
            <w:r>
              <w:rPr>
                <w:rFonts w:ascii="Roboto" w:cs="Roboto" w:eastAsia="Roboto" w:hAnsi="Roboto"/>
                <w:b/>
                <w:bCs/>
                <w:color w:val="004976"/>
                <w:sz w:val="21"/>
                <w:szCs w:val="21"/>
              </w:rPr>
              <w:t xml:space="preserve">Your judgement</w:t>
            </w:r>
          </w:p>
          <w:p>
            <w:pPr>
              <w:spacing w:after="200"/>
            </w:pPr>
            <w:r>
              <w:rPr>
                <w:rFonts w:ascii="Lato" w:cs="Lato" w:eastAsia="Lato" w:hAnsi="Lato"/>
                <w:b/>
                <w:bCs/>
                <w:color w:val="041E42"/>
                <w:sz w:val="21"/>
                <w:szCs w:val="21"/>
              </w:rPr>
              <w:t xml:space="preserve">Level awarded:  </w:t>
            </w:r>
            <w:r>
              <w:rPr>
                <w:rFonts w:ascii="Lato" w:cs="Lato" w:eastAsia="Lato" w:hAnsi="Lato"/>
                <w:color w:val="97999B"/>
                <w:sz w:val="21"/>
                <w:szCs w:val="21"/>
              </w:rPr>
              <w:t xml:space="preserve">________________________</w:t>
            </w:r>
          </w:p>
          <w:p>
            <w:pPr>
              <w:spacing w:after="140"/>
            </w:pPr>
            <w:r>
              <w:rPr>
                <w:rFonts w:ascii="Lato" w:cs="Lato" w:eastAsia="Lato" w:hAnsi="Lato"/>
                <w:color w:val="041E42"/>
                <w:sz w:val="21"/>
                <w:szCs w:val="21"/>
              </w:rPr>
              <w:t xml:space="preserve">Your reasoning (tie the decision to what the evidence shows, across the sources):</w:t>
            </w:r>
          </w:p>
          <w:p>
            <w:pPr>
              <w:pBdr>
                <w:bottom w:val="single" w:color="97999B" w:sz="4" w:space="8"/>
              </w:pBdr>
              <w:spacing w:after="220"/>
            </w:pPr>
          </w:p>
          <w:p>
            <w:pPr>
              <w:pBdr>
                <w:bottom w:val="single" w:color="97999B" w:sz="4" w:space="8"/>
              </w:pBdr>
              <w:spacing w:after="220"/>
            </w:pPr>
          </w:p>
          <w:p>
            <w:pPr>
              <w:pBdr>
                <w:bottom w:val="single" w:color="97999B" w:sz="4" w:space="8"/>
              </w:pBdr>
              <w:spacing w:after="220"/>
            </w:pPr>
          </w:p>
          <w:p>
            <w:pPr>
              <w:pBdr>
                <w:bottom w:val="single" w:color="97999B" w:sz="4" w:space="8"/>
              </w:pBdr>
              <w:spacing w:after="40"/>
            </w:pPr>
          </w:p>
        </w:tc>
      </w:tr>
    </w:tbl>
    <w:p>
      <w:pPr>
        <w:spacing w:after="80"/>
      </w:pPr>
    </w:p>
    <w:p>
      <w:pPr>
        <w:spacing w:after="100" w:before="240"/>
      </w:pPr>
      <w:r>
        <w:rPr>
          <w:rFonts w:ascii="Roboto" w:cs="Roboto" w:eastAsia="Roboto" w:hAnsi="Roboto"/>
          <w:b/>
          <w:bCs/>
          <w:color w:val="004976"/>
          <w:sz w:val="25"/>
          <w:szCs w:val="25"/>
        </w:rPr>
        <w:t xml:space="preserve">Case FLC2-03</w:t>
      </w:r>
    </w:p>
    <w:p>
      <w:pPr>
        <w:spacing w:after="120"/>
      </w:pPr>
      <w:r>
        <w:rPr>
          <w:rFonts w:ascii="Lato" w:cs="Lato" w:eastAsia="Lato" w:hAnsi="Lato"/>
          <w:i/>
          <w:iCs/>
          <w:color w:val="97999B"/>
          <w:sz w:val="21"/>
          <w:szCs w:val="21"/>
        </w:rPr>
        <w:t xml:space="preserve">Joseph  ·  online</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Joseph is an online learner. His educator is assessing how he fosters connection and belonging, drawing on how he has been in the online sessions, where a few learners rarely speak.</w:t>
      </w:r>
    </w:p>
    <w:p>
      <w:pPr>
        <w:spacing w:after="80" w:before="40"/>
      </w:pPr>
      <w:r>
        <w:rPr>
          <w:rFonts w:ascii="Roboto" w:cs="Roboto" w:eastAsia="Roboto" w:hAnsi="Roboto"/>
          <w:b/>
          <w:bCs/>
          <w:caps/>
          <w:color w:val="97999B"/>
          <w:sz w:val="21"/>
          <w:szCs w:val="21"/>
        </w:rPr>
        <w:t xml:space="preserve">Evidence</w:t>
      </w:r>
    </w:p>
    <w:p>
      <w:pPr>
        <w:spacing w:after="140" w:line="276"/>
      </w:pPr>
      <w:r>
        <w:rPr>
          <w:rFonts w:ascii="Lato" w:cs="Lato" w:eastAsia="Lato" w:hAnsi="Lato"/>
          <w:b w:val="false"/>
          <w:bCs w:val="false"/>
          <w:i w:val="false"/>
          <w:iCs w:val="false"/>
          <w:color w:val="041E42"/>
          <w:sz w:val="21"/>
          <w:szCs w:val="21"/>
        </w:rPr>
        <w:t xml:space="preserve">Asked how he might help the quieter members feel more part of the online group, Joseph set out what he would do: greet people by name as they joined, and use the chat to bring the quiet ones in with easy questions. He reasoned that on a call it is easy to disappear, so naming people and low-stakes questions would help them speak.</w:t>
      </w:r>
    </w:p>
    <w:p>
      <w:pPr>
        <w:spacing w:after="140" w:line="276"/>
      </w:pPr>
      <w:r>
        <w:rPr>
          <w:rFonts w:ascii="Lato" w:cs="Lato" w:eastAsia="Lato" w:hAnsi="Lato"/>
          <w:b w:val="false"/>
          <w:bCs w:val="false"/>
          <w:i w:val="false"/>
          <w:iCs w:val="false"/>
          <w:color w:val="041E42"/>
          <w:sz w:val="21"/>
          <w:szCs w:val="21"/>
        </w:rPr>
        <w:t xml:space="preserve">The educator saw Joseph do this across several sessions. He welcomed people by name and put gentle questions to the quieter members through the chat, and he could explain why he had chosen that way in.</w:t>
      </w:r>
    </w:p>
    <w:p>
      <w:pPr>
        <w:spacing w:after="140" w:line="276"/>
      </w:pPr>
      <w:r>
        <w:rPr>
          <w:rFonts w:ascii="Lato" w:cs="Lato" w:eastAsia="Lato" w:hAnsi="Lato"/>
          <w:b w:val="false"/>
          <w:bCs w:val="false"/>
          <w:i w:val="false"/>
          <w:iCs w:val="false"/>
          <w:color w:val="041E42"/>
          <w:sz w:val="21"/>
          <w:szCs w:val="21"/>
        </w:rPr>
        <w:t xml:space="preserve">In a session debrief the educator turned to how Joseph goes about building belonging and what he would change in his approach. He described what he had done but could not step back from it: asked what had worked or fallen flat, he said he was not sure, he had just tried to be friendly. And though he had made the effort steadily, the quieter members had not come in any more than before, and there was no sign the group had begun to feel more connected as a result.</w:t>
      </w:r>
    </w:p>
    <w:p>
      <w:pPr>
        <w:spacing w:after="40"/>
      </w:pPr>
    </w:p>
    <w:tbl>
      <w:tblPr>
        <w:tblW w:type="dxa" w:w="9506"/>
        <w:tblBorders>
          <w:top w:val="none"/>
          <w:left w:val="none"/>
          <w:bottom w:val="none"/>
          <w:right w:val="none"/>
          <w:insideH w:val="none"/>
          <w:insideV w:val="none"/>
        </w:tblBorders>
      </w:tblPr>
      <w:tblGrid>
        <w:gridCol w:w="9506"/>
      </w:tblGrid>
      <w:tr>
        <w:tc>
          <w:tcPr>
            <w:tcW w:type="dxa" w:w="9506"/>
            <w:shd w:fill="F2F3F4" w:val="clear"/>
            <w:tcMar>
              <w:top w:type="dxa" w:w="140"/>
              <w:left w:type="dxa" w:w="200"/>
              <w:bottom w:type="dxa" w:w="140"/>
              <w:right w:type="dxa" w:w="200"/>
            </w:tcMar>
          </w:tcPr>
          <w:p>
            <w:pPr>
              <w:spacing w:after="140"/>
            </w:pPr>
            <w:r>
              <w:rPr>
                <w:rFonts w:ascii="Roboto" w:cs="Roboto" w:eastAsia="Roboto" w:hAnsi="Roboto"/>
                <w:b/>
                <w:bCs/>
                <w:color w:val="004976"/>
                <w:sz w:val="21"/>
                <w:szCs w:val="21"/>
              </w:rPr>
              <w:t xml:space="preserve">Your judgement</w:t>
            </w:r>
          </w:p>
          <w:p>
            <w:pPr>
              <w:spacing w:after="200"/>
            </w:pPr>
            <w:r>
              <w:rPr>
                <w:rFonts w:ascii="Lato" w:cs="Lato" w:eastAsia="Lato" w:hAnsi="Lato"/>
                <w:b/>
                <w:bCs/>
                <w:color w:val="041E42"/>
                <w:sz w:val="21"/>
                <w:szCs w:val="21"/>
              </w:rPr>
              <w:t xml:space="preserve">Level awarded:  </w:t>
            </w:r>
            <w:r>
              <w:rPr>
                <w:rFonts w:ascii="Lato" w:cs="Lato" w:eastAsia="Lato" w:hAnsi="Lato"/>
                <w:color w:val="97999B"/>
                <w:sz w:val="21"/>
                <w:szCs w:val="21"/>
              </w:rPr>
              <w:t xml:space="preserve">________________________</w:t>
            </w:r>
          </w:p>
          <w:p>
            <w:pPr>
              <w:spacing w:after="140"/>
            </w:pPr>
            <w:r>
              <w:rPr>
                <w:rFonts w:ascii="Lato" w:cs="Lato" w:eastAsia="Lato" w:hAnsi="Lato"/>
                <w:color w:val="041E42"/>
                <w:sz w:val="21"/>
                <w:szCs w:val="21"/>
              </w:rPr>
              <w:t xml:space="preserve">Your reasoning (tie the decision to what the evidence shows, across the sources):</w:t>
            </w:r>
          </w:p>
          <w:p>
            <w:pPr>
              <w:pBdr>
                <w:bottom w:val="single" w:color="97999B" w:sz="4" w:space="8"/>
              </w:pBdr>
              <w:spacing w:after="220"/>
            </w:pPr>
          </w:p>
          <w:p>
            <w:pPr>
              <w:pBdr>
                <w:bottom w:val="single" w:color="97999B" w:sz="4" w:space="8"/>
              </w:pBdr>
              <w:spacing w:after="220"/>
            </w:pPr>
          </w:p>
          <w:p>
            <w:pPr>
              <w:pBdr>
                <w:bottom w:val="single" w:color="97999B" w:sz="4" w:space="8"/>
              </w:pBdr>
              <w:spacing w:after="220"/>
            </w:pPr>
          </w:p>
          <w:p>
            <w:pPr>
              <w:pBdr>
                <w:bottom w:val="single" w:color="97999B" w:sz="4" w:space="8"/>
              </w:pBdr>
              <w:spacing w:after="40"/>
            </w:pPr>
          </w:p>
        </w:tc>
      </w:tr>
    </w:tbl>
    <w:p>
      <w:pPr>
        <w:spacing w:after="80"/>
      </w:pPr>
    </w:p>
    <w:p>
      <w:pPr>
        <w:spacing w:after="100" w:before="240"/>
      </w:pPr>
      <w:r>
        <w:rPr>
          <w:rFonts w:ascii="Roboto" w:cs="Roboto" w:eastAsia="Roboto" w:hAnsi="Roboto"/>
          <w:b/>
          <w:bCs/>
          <w:color w:val="004976"/>
          <w:sz w:val="25"/>
          <w:szCs w:val="25"/>
        </w:rPr>
        <w:t xml:space="preserve">Case FLC2-04</w:t>
      </w:r>
    </w:p>
    <w:p>
      <w:pPr>
        <w:spacing w:after="120"/>
      </w:pPr>
      <w:r>
        <w:rPr>
          <w:rFonts w:ascii="Lato" w:cs="Lato" w:eastAsia="Lato" w:hAnsi="Lato"/>
          <w:i/>
          <w:iCs/>
          <w:color w:val="97999B"/>
          <w:sz w:val="21"/>
          <w:szCs w:val="21"/>
        </w:rPr>
        <w:t xml:space="preserve">Leila  ·  Kampala, Uganda</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Leila is a learner in Kampala, Uganda. Her educator is assessing how she fosters connection and belonging. The clearest evidence is one situation this term: a new learner, Sana, joined the group part-way through and was struggling to find a place in it.</w:t>
      </w:r>
    </w:p>
    <w:p>
      <w:pPr>
        <w:spacing w:after="80" w:before="40"/>
      </w:pPr>
      <w:r>
        <w:rPr>
          <w:rFonts w:ascii="Roboto" w:cs="Roboto" w:eastAsia="Roboto" w:hAnsi="Roboto"/>
          <w:b/>
          <w:bCs/>
          <w:caps/>
          <w:color w:val="97999B"/>
          <w:sz w:val="21"/>
          <w:szCs w:val="21"/>
        </w:rPr>
        <w:t xml:space="preserve">Evidence</w:t>
      </w:r>
    </w:p>
    <w:p>
      <w:pPr>
        <w:spacing w:after="140" w:line="276"/>
      </w:pPr>
      <w:r>
        <w:rPr>
          <w:rFonts w:ascii="Lato" w:cs="Lato" w:eastAsia="Lato" w:hAnsi="Lato"/>
          <w:b w:val="false"/>
          <w:bCs w:val="false"/>
          <w:i w:val="false"/>
          <w:iCs w:val="false"/>
          <w:color w:val="041E42"/>
          <w:sz w:val="21"/>
          <w:szCs w:val="21"/>
        </w:rPr>
        <w:t xml:space="preserve">Leila set out what she would do to help Sana settle: sit with her, bring her into the friendship group, and give her a real part in the group task so she had a reason to contribute. She reasoned that belonging comes from being needed and known, not from being welcomed once.</w:t>
      </w:r>
    </w:p>
    <w:p>
      <w:pPr>
        <w:spacing w:after="140" w:line="276"/>
      </w:pPr>
      <w:r>
        <w:rPr>
          <w:rFonts w:ascii="Lato" w:cs="Lato" w:eastAsia="Lato" w:hAnsi="Lato"/>
          <w:b w:val="false"/>
          <w:bCs w:val="false"/>
          <w:i w:val="false"/>
          <w:iCs w:val="false"/>
          <w:color w:val="041E42"/>
          <w:sz w:val="21"/>
          <w:szCs w:val="21"/>
        </w:rPr>
        <w:t xml:space="preserve">The educator watched it play out over several weeks. Leila drew Sana in and handed her a genuine part in the group’s project, and by mid-term Sana was speaking up in sessions and had been taken into the group; other learners had followed Leila’s lead and begun turning to Sana on the task.</w:t>
      </w:r>
    </w:p>
    <w:p>
      <w:pPr>
        <w:spacing w:after="140" w:line="276"/>
      </w:pPr>
      <w:r>
        <w:rPr>
          <w:rFonts w:ascii="Lato" w:cs="Lato" w:eastAsia="Lato" w:hAnsi="Lato"/>
          <w:b w:val="false"/>
          <w:bCs w:val="false"/>
          <w:i w:val="false"/>
          <w:iCs w:val="false"/>
          <w:color w:val="041E42"/>
          <w:sz w:val="21"/>
          <w:szCs w:val="21"/>
        </w:rPr>
        <w:t xml:space="preserve">At a session where learners shared something they had worked on, Leila talked about how she had gone about it. Giving Sana a role, she said, had done more than being kind to her, because it gave the others a reason to depend on her, and she pointed to how the group had started bringing Sana into decisions. She was also honest that she had put so much into Sana that she had let another quiet learner slip that month, and said she would try to keep the whole group in view next time, not only the newcomer.</w:t>
      </w:r>
    </w:p>
    <w:p>
      <w:pPr>
        <w:spacing w:after="40"/>
      </w:pPr>
    </w:p>
    <w:tbl>
      <w:tblPr>
        <w:tblW w:type="dxa" w:w="9506"/>
        <w:tblBorders>
          <w:top w:val="none"/>
          <w:left w:val="none"/>
          <w:bottom w:val="none"/>
          <w:right w:val="none"/>
          <w:insideH w:val="none"/>
          <w:insideV w:val="none"/>
        </w:tblBorders>
      </w:tblPr>
      <w:tblGrid>
        <w:gridCol w:w="9506"/>
      </w:tblGrid>
      <w:tr>
        <w:tc>
          <w:tcPr>
            <w:tcW w:type="dxa" w:w="9506"/>
            <w:shd w:fill="F2F3F4" w:val="clear"/>
            <w:tcMar>
              <w:top w:type="dxa" w:w="140"/>
              <w:left w:type="dxa" w:w="200"/>
              <w:bottom w:type="dxa" w:w="140"/>
              <w:right w:type="dxa" w:w="200"/>
            </w:tcMar>
          </w:tcPr>
          <w:p>
            <w:pPr>
              <w:spacing w:after="140"/>
            </w:pPr>
            <w:r>
              <w:rPr>
                <w:rFonts w:ascii="Roboto" w:cs="Roboto" w:eastAsia="Roboto" w:hAnsi="Roboto"/>
                <w:b/>
                <w:bCs/>
                <w:color w:val="004976"/>
                <w:sz w:val="21"/>
                <w:szCs w:val="21"/>
              </w:rPr>
              <w:t xml:space="preserve">Your judgement</w:t>
            </w:r>
          </w:p>
          <w:p>
            <w:pPr>
              <w:spacing w:after="200"/>
            </w:pPr>
            <w:r>
              <w:rPr>
                <w:rFonts w:ascii="Lato" w:cs="Lato" w:eastAsia="Lato" w:hAnsi="Lato"/>
                <w:b/>
                <w:bCs/>
                <w:color w:val="041E42"/>
                <w:sz w:val="21"/>
                <w:szCs w:val="21"/>
              </w:rPr>
              <w:t xml:space="preserve">Level awarded:  </w:t>
            </w:r>
            <w:r>
              <w:rPr>
                <w:rFonts w:ascii="Lato" w:cs="Lato" w:eastAsia="Lato" w:hAnsi="Lato"/>
                <w:color w:val="97999B"/>
                <w:sz w:val="21"/>
                <w:szCs w:val="21"/>
              </w:rPr>
              <w:t xml:space="preserve">________________________</w:t>
            </w:r>
          </w:p>
          <w:p>
            <w:pPr>
              <w:spacing w:after="140"/>
            </w:pPr>
            <w:r>
              <w:rPr>
                <w:rFonts w:ascii="Lato" w:cs="Lato" w:eastAsia="Lato" w:hAnsi="Lato"/>
                <w:color w:val="041E42"/>
                <w:sz w:val="21"/>
                <w:szCs w:val="21"/>
              </w:rPr>
              <w:t xml:space="preserve">Your reasoning (tie the decision to what the evidence shows, across the sources):</w:t>
            </w:r>
          </w:p>
          <w:p>
            <w:pPr>
              <w:pBdr>
                <w:bottom w:val="single" w:color="97999B" w:sz="4" w:space="8"/>
              </w:pBdr>
              <w:spacing w:after="220"/>
            </w:pPr>
          </w:p>
          <w:p>
            <w:pPr>
              <w:pBdr>
                <w:bottom w:val="single" w:color="97999B" w:sz="4" w:space="8"/>
              </w:pBdr>
              <w:spacing w:after="220"/>
            </w:pPr>
          </w:p>
          <w:p>
            <w:pPr>
              <w:pBdr>
                <w:bottom w:val="single" w:color="97999B" w:sz="4" w:space="8"/>
              </w:pBdr>
              <w:spacing w:after="220"/>
            </w:pPr>
          </w:p>
          <w:p>
            <w:pPr>
              <w:pBdr>
                <w:bottom w:val="single" w:color="97999B" w:sz="4" w:space="8"/>
              </w:pBdr>
              <w:spacing w:after="40"/>
            </w:pPr>
          </w:p>
        </w:tc>
      </w:tr>
    </w:tbl>
    <w:p>
      <w:pPr>
        <w:spacing w:after="80"/>
      </w:pPr>
    </w:p>
    <w:p>
      <w:pPr>
        <w:spacing w:after="100" w:before="240"/>
      </w:pPr>
      <w:r>
        <w:rPr>
          <w:rFonts w:ascii="Roboto" w:cs="Roboto" w:eastAsia="Roboto" w:hAnsi="Roboto"/>
          <w:b/>
          <w:bCs/>
          <w:color w:val="004976"/>
          <w:sz w:val="25"/>
          <w:szCs w:val="25"/>
        </w:rPr>
        <w:t xml:space="preserve">Case FLC2-05</w:t>
      </w:r>
    </w:p>
    <w:p>
      <w:pPr>
        <w:spacing w:after="120"/>
      </w:pPr>
      <w:r>
        <w:rPr>
          <w:rFonts w:ascii="Lato" w:cs="Lato" w:eastAsia="Lato" w:hAnsi="Lato"/>
          <w:i/>
          <w:iCs/>
          <w:color w:val="97999B"/>
          <w:sz w:val="21"/>
          <w:szCs w:val="21"/>
        </w:rPr>
        <w:t xml:space="preserve">Miriam  ·  Kakuma, Kenya</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Miriam is a learner in Kakuma, Kenya. Her educator has seen her foster connection and belonging in more than one situation across the year, and is assessing the competency across that fuller picture. Two clear instances are welcoming a wave of new arrivals into the learning group and, later, bridging a split between two language groups in a project team.</w:t>
      </w:r>
    </w:p>
    <w:p>
      <w:pPr>
        <w:spacing w:after="80" w:before="40"/>
      </w:pPr>
      <w:r>
        <w:rPr>
          <w:rFonts w:ascii="Roboto" w:cs="Roboto" w:eastAsia="Roboto" w:hAnsi="Roboto"/>
          <w:b/>
          <w:bCs/>
          <w:caps/>
          <w:color w:val="97999B"/>
          <w:sz w:val="21"/>
          <w:szCs w:val="21"/>
        </w:rPr>
        <w:t xml:space="preserve">Evidence</w:t>
      </w:r>
    </w:p>
    <w:p>
      <w:pPr>
        <w:spacing w:after="140" w:line="276"/>
      </w:pPr>
      <w:r>
        <w:rPr>
          <w:rFonts w:ascii="Lato" w:cs="Lato" w:eastAsia="Lato" w:hAnsi="Lato"/>
          <w:b w:val="false"/>
          <w:bCs w:val="false"/>
          <w:i w:val="false"/>
          <w:iCs w:val="false"/>
          <w:color w:val="041E42"/>
          <w:sz w:val="21"/>
          <w:szCs w:val="21"/>
        </w:rPr>
        <w:t xml:space="preserve">The educator reviewed how Miriam approached each situation, and noted that in the second she deliberately changed something that had not worked in the first.</w:t>
      </w:r>
    </w:p>
    <w:p>
      <w:pPr>
        <w:spacing w:after="140" w:line="276"/>
      </w:pPr>
      <w:r>
        <w:rPr>
          <w:rFonts w:ascii="Lato" w:cs="Lato" w:eastAsia="Lato" w:hAnsi="Lato"/>
          <w:b w:val="false"/>
          <w:bCs w:val="false"/>
          <w:i w:val="false"/>
          <w:iCs w:val="false"/>
          <w:color w:val="041E42"/>
          <w:sz w:val="21"/>
          <w:szCs w:val="21"/>
        </w:rPr>
        <w:t xml:space="preserve">For the new arrivals, the educator saw her set up a buddy arrangement and a shared opening to each session; over some weeks the newcomers went from silent to taking part, and the group held together rather than splitting into old and new.</w:t>
      </w:r>
    </w:p>
    <w:p>
      <w:pPr>
        <w:spacing w:after="140" w:line="276"/>
      </w:pPr>
      <w:r>
        <w:rPr>
          <w:rFonts w:ascii="Lato" w:cs="Lato" w:eastAsia="Lato" w:hAnsi="Lato"/>
          <w:b w:val="false"/>
          <w:bCs w:val="false"/>
          <w:i w:val="false"/>
          <w:iCs w:val="false"/>
          <w:color w:val="041E42"/>
          <w:sz w:val="21"/>
          <w:szCs w:val="21"/>
        </w:rPr>
        <w:t xml:space="preserve">Later, when a project team divided along language lines, the educator saw Miriam mix the pairs deliberately and have each pair present their part jointly, and the divide eased as members came to rely on one another across the language line.</w:t>
      </w:r>
    </w:p>
    <w:p>
      <w:pPr>
        <w:spacing w:after="140" w:line="276"/>
      </w:pPr>
      <w:r>
        <w:rPr>
          <w:rFonts w:ascii="Lato" w:cs="Lato" w:eastAsia="Lato" w:hAnsi="Lato"/>
          <w:b w:val="false"/>
          <w:bCs w:val="false"/>
          <w:i w:val="false"/>
          <w:iCs w:val="false"/>
          <w:color w:val="041E42"/>
          <w:sz w:val="21"/>
          <w:szCs w:val="21"/>
        </w:rPr>
        <w:t xml:space="preserve">At a competency showcase, Miriam presented both and was clear about how her approach had grown. With the new arrivals, she said, she had welcomed them warmly but left them sitting together, so they had stayed a separate cluster for a while; learning from that, with the project team she mixed people from the start so that belonging had to cross the two groups, and she pointed to how the joint presentations had changed who spoke to whom. She could say plainly what she had carried from the first situation into the second.</w:t>
      </w:r>
    </w:p>
    <w:p>
      <w:pPr>
        <w:spacing w:after="40"/>
      </w:pPr>
    </w:p>
    <w:tbl>
      <w:tblPr>
        <w:tblW w:type="dxa" w:w="9506"/>
        <w:tblBorders>
          <w:top w:val="none"/>
          <w:left w:val="none"/>
          <w:bottom w:val="none"/>
          <w:right w:val="none"/>
          <w:insideH w:val="none"/>
          <w:insideV w:val="none"/>
        </w:tblBorders>
      </w:tblPr>
      <w:tblGrid>
        <w:gridCol w:w="9506"/>
      </w:tblGrid>
      <w:tr>
        <w:tc>
          <w:tcPr>
            <w:tcW w:type="dxa" w:w="9506"/>
            <w:shd w:fill="F2F3F4" w:val="clear"/>
            <w:tcMar>
              <w:top w:type="dxa" w:w="140"/>
              <w:left w:type="dxa" w:w="200"/>
              <w:bottom w:type="dxa" w:w="140"/>
              <w:right w:type="dxa" w:w="200"/>
            </w:tcMar>
          </w:tcPr>
          <w:p>
            <w:pPr>
              <w:spacing w:after="140"/>
            </w:pPr>
            <w:r>
              <w:rPr>
                <w:rFonts w:ascii="Roboto" w:cs="Roboto" w:eastAsia="Roboto" w:hAnsi="Roboto"/>
                <w:b/>
                <w:bCs/>
                <w:color w:val="004976"/>
                <w:sz w:val="21"/>
                <w:szCs w:val="21"/>
              </w:rPr>
              <w:t xml:space="preserve">Your judgement</w:t>
            </w:r>
          </w:p>
          <w:p>
            <w:pPr>
              <w:spacing w:after="200"/>
            </w:pPr>
            <w:r>
              <w:rPr>
                <w:rFonts w:ascii="Lato" w:cs="Lato" w:eastAsia="Lato" w:hAnsi="Lato"/>
                <w:b/>
                <w:bCs/>
                <w:color w:val="041E42"/>
                <w:sz w:val="21"/>
                <w:szCs w:val="21"/>
              </w:rPr>
              <w:t xml:space="preserve">Level awarded:  </w:t>
            </w:r>
            <w:r>
              <w:rPr>
                <w:rFonts w:ascii="Lato" w:cs="Lato" w:eastAsia="Lato" w:hAnsi="Lato"/>
                <w:color w:val="97999B"/>
                <w:sz w:val="21"/>
                <w:szCs w:val="21"/>
              </w:rPr>
              <w:t xml:space="preserve">________________________</w:t>
            </w:r>
          </w:p>
          <w:p>
            <w:pPr>
              <w:spacing w:after="140"/>
            </w:pPr>
            <w:r>
              <w:rPr>
                <w:rFonts w:ascii="Lato" w:cs="Lato" w:eastAsia="Lato" w:hAnsi="Lato"/>
                <w:color w:val="041E42"/>
                <w:sz w:val="21"/>
                <w:szCs w:val="21"/>
              </w:rPr>
              <w:t xml:space="preserve">Your reasoning (tie the decision to what the evidence shows, across the sources):</w:t>
            </w:r>
          </w:p>
          <w:p>
            <w:pPr>
              <w:pBdr>
                <w:bottom w:val="single" w:color="97999B" w:sz="4" w:space="8"/>
              </w:pBdr>
              <w:spacing w:after="220"/>
            </w:pPr>
          </w:p>
          <w:p>
            <w:pPr>
              <w:pBdr>
                <w:bottom w:val="single" w:color="97999B" w:sz="4" w:space="8"/>
              </w:pBdr>
              <w:spacing w:after="220"/>
            </w:pPr>
          </w:p>
          <w:p>
            <w:pPr>
              <w:pBdr>
                <w:bottom w:val="single" w:color="97999B" w:sz="4" w:space="8"/>
              </w:pBdr>
              <w:spacing w:after="220"/>
            </w:pPr>
          </w:p>
          <w:p>
            <w:pPr>
              <w:pBdr>
                <w:bottom w:val="single" w:color="97999B" w:sz="4" w:space="8"/>
              </w:pBdr>
              <w:spacing w:after="40"/>
            </w:pPr>
          </w:p>
        </w:tc>
      </w:tr>
    </w:tbl>
    <w:p>
      <w:pPr>
        <w:spacing w:after="80"/>
      </w:pPr>
    </w:p>
    <w:sectPr>
      <w:footerReference w:type="default" r:id="rId7"/>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ato" w:cs="Lato" w:eastAsia="Lato" w:hAnsi="Lato"/>
        <w:color w:val="97999B"/>
        <w:sz w:val="16"/>
        <w:szCs w:val="16"/>
      </w:rPr>
      <w:t xml:space="preserve">Amala Education for Change     ·     Case bank: educator edition     ·     Page </w:t>
    </w:r>
    <w:r>
      <w:rPr>
        <w:rFonts w:ascii="Lato" w:cs="Lato" w:eastAsia="Lato" w:hAnsi="Lato"/>
        <w:color w:val="97999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color w:val="041E4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Conducting Assessments of Competence — Case bank (Educator edition)</dc:title>
  <dc:creator>Amala Education for Change</dc:creator>
  <cp:lastModifiedBy>Un-named</cp:lastModifiedBy>
  <cp:revision>1</cp:revision>
  <dcterms:created xsi:type="dcterms:W3CDTF">2026-07-31T07:38:03.518Z</dcterms:created>
  <dcterms:modified xsi:type="dcterms:W3CDTF">2026-07-31T07:38:03.518Z</dcterms:modified>
</cp:coreProperties>
</file>

<file path=docProps/custom.xml><?xml version="1.0" encoding="utf-8"?>
<Properties xmlns="http://schemas.openxmlformats.org/officeDocument/2006/custom-properties" xmlns:vt="http://schemas.openxmlformats.org/officeDocument/2006/docPropsVTypes"/>
</file>