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Roboto" w:cs="Roboto" w:eastAsia="Roboto" w:hAnsi="Roboto"/>
          <w:b/>
          <w:bCs/>
          <w:color w:val="004976"/>
          <w:sz w:val="40"/>
          <w:szCs w:val="40"/>
        </w:rPr>
        <w:t xml:space="preserve">Conducting Assessments of Competence</w:t>
      </w:r>
    </w:p>
    <w:p>
      <w:pPr>
        <w:spacing w:after="40"/>
      </w:pPr>
      <w:r>
        <w:rPr>
          <w:rFonts w:ascii="Roboto" w:cs="Roboto" w:eastAsia="Roboto" w:hAnsi="Roboto"/>
          <w:b/>
          <w:bCs/>
          <w:color w:val="8F993E"/>
          <w:sz w:val="26"/>
          <w:szCs w:val="26"/>
        </w:rPr>
        <w:t xml:space="preserve">Case bank  ·  Trainer edition</w:t>
      </w:r>
    </w:p>
    <w:p>
      <w:pPr>
        <w:spacing w:after="200"/>
      </w:pPr>
      <w:r>
        <w:rPr>
          <w:rFonts w:ascii="Lato" w:cs="Lato" w:eastAsia="Lato" w:hAnsi="Lato"/>
          <w:i/>
          <w:iCs/>
          <w:color w:val="97999B"/>
          <w:sz w:val="21"/>
          <w:szCs w:val="21"/>
        </w:rPr>
        <w:t xml:space="preserve">Programme-agnostic. About judging competence against the proficiency scale, not the administration of any one programme.</w:t>
      </w: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40"/>
              <w:left w:type="dxa" w:w="200"/>
              <w:bottom w:type="dxa" w:w="140"/>
              <w:right w:type="dxa" w:w="200"/>
            </w:tcMar>
          </w:tcPr>
          <w:p>
            <w:pPr>
              <w:spacing w:after="100" w:line="276"/>
            </w:pPr>
            <w:r>
              <w:rPr>
                <w:rFonts w:ascii="Lato" w:cs="Lato" w:eastAsia="Lato" w:hAnsi="Lato"/>
                <w:b w:val="false"/>
                <w:bCs w:val="false"/>
                <w:i w:val="false"/>
                <w:iCs w:val="false"/>
                <w:color w:val="041E42"/>
                <w:sz w:val="21"/>
                <w:szCs w:val="21"/>
              </w:rPr>
              <w:t xml:space="preserve">This is the trainer edition of the case bank: fifteen learner cases across three competencies, one at each level of the proficiency scale for each competency, each with the moderated decision, the reasoning behind it, and a note on where judgements commonly go wrong.</w:t>
            </w:r>
          </w:p>
          <w:p>
            <w:pPr>
              <w:spacing w:after="100" w:line="276"/>
            </w:pPr>
            <w:r>
              <w:rPr>
                <w:rFonts w:ascii="Lato" w:cs="Lato" w:eastAsia="Lato" w:hAnsi="Lato"/>
                <w:b w:val="false"/>
                <w:bCs w:val="false"/>
                <w:i w:val="false"/>
                <w:iCs w:val="false"/>
                <w:color w:val="041E42"/>
                <w:sz w:val="21"/>
                <w:szCs w:val="21"/>
              </w:rPr>
              <w:t xml:space="preserve">Hold the decisions back from educators until they have judged each case for themselves. Two companion editions carry the same cases: an educator edition with no decisions, for judging, and an educator edition with the moderated decisions, for checking afterwards.</w:t>
            </w:r>
          </w:p>
          <w:p>
            <w:pPr>
              <w:spacing w:after="0" w:line="276"/>
            </w:pPr>
            <w:r>
              <w:rPr>
                <w:rFonts w:ascii="Lato" w:cs="Lato" w:eastAsia="Lato" w:hAnsi="Lato"/>
                <w:b/>
                <w:bCs/>
                <w:i w:val="false"/>
                <w:iCs w:val="false"/>
                <w:color w:val="041E42"/>
                <w:sz w:val="21"/>
                <w:szCs w:val="21"/>
              </w:rPr>
              <w:t xml:space="preserve">The moderated decisions here are drafted and require a human moderation pass before the bank is used for live sign-off. [to verify]</w:t>
            </w:r>
          </w:p>
        </w:tc>
      </w:tr>
    </w:tbl>
    <w:p>
      <w:pPr>
        <w:spacing w:after="140"/>
      </w:pPr>
    </w:p>
    <w:p>
      <w:pPr>
        <w:pBdr>
          <w:bottom w:val="single" w:color="8F993E" w:sz="6" w:space="4"/>
        </w:pBdr>
        <w:spacing w:after="100" w:before="260"/>
      </w:pPr>
      <w:r>
        <w:rPr>
          <w:rFonts w:ascii="Roboto" w:cs="Roboto" w:eastAsia="Roboto" w:hAnsi="Roboto"/>
          <w:b/>
          <w:bCs/>
          <w:color w:val="004976"/>
          <w:sz w:val="30"/>
          <w:szCs w:val="30"/>
        </w:rPr>
        <w:t xml:space="preserve">The proficiency scale</w:t>
      </w:r>
    </w:p>
    <w:p>
      <w:pPr>
        <w:spacing w:after="140" w:line="276"/>
      </w:pPr>
      <w:r>
        <w:rPr>
          <w:rFonts w:ascii="Lato" w:cs="Lato" w:eastAsia="Lato" w:hAnsi="Lato"/>
          <w:b w:val="false"/>
          <w:bCs w:val="false"/>
          <w:i w:val="false"/>
          <w:iCs w:val="false"/>
          <w:color w:val="041E42"/>
          <w:sz w:val="21"/>
          <w:szCs w:val="21"/>
        </w:rPr>
        <w:t xml:space="preserve">The scale is generic: one ladder, applied to any competency by reading its descriptors against the goal that competency names. Credit begins at Practitioner.</w:t>
      </w:r>
    </w:p>
    <w:tbl>
      <w:tblPr>
        <w:tblW w:type="dxa" w:w="9506"/>
        <w:tblBorders>
          <w:top w:val="single" w:color="97999B" w:sz="4"/>
          <w:left w:val="single" w:color="97999B" w:sz="4"/>
          <w:bottom w:val="single" w:color="97999B" w:sz="4"/>
          <w:right w:val="single" w:color="97999B" w:sz="4"/>
          <w:insideH w:val="single" w:color="97999B" w:sz="4"/>
          <w:insideV w:val="single" w:color="97999B" w:sz="4"/>
        </w:tblBorders>
      </w:tblPr>
      <w:tblGrid>
        <w:gridCol w:w="2200"/>
        <w:gridCol w:w="1000"/>
        <w:gridCol w:w="6306"/>
      </w:tblGrid>
      <w:tr>
        <w:tc>
          <w:tcPr>
            <w:tcW w:type="dxa" w:w="2200"/>
            <w:shd w:fill="004976" w:val="clear"/>
            <w:tcMar>
              <w:top w:type="dxa" w:w="80"/>
              <w:left w:type="dxa" w:w="120"/>
              <w:bottom w:type="dxa" w:w="80"/>
              <w:right w:type="dxa" w:w="120"/>
            </w:tcMar>
          </w:tcPr>
          <w:p>
            <w:r>
              <w:rPr>
                <w:rFonts w:ascii="Roboto" w:cs="Roboto" w:eastAsia="Roboto" w:hAnsi="Roboto"/>
                <w:b/>
                <w:bCs/>
                <w:color w:val="FFFFFF"/>
                <w:sz w:val="20"/>
                <w:szCs w:val="20"/>
              </w:rPr>
              <w:t xml:space="preserve">Level</w:t>
            </w:r>
          </w:p>
        </w:tc>
        <w:tc>
          <w:tcPr>
            <w:tcW w:type="dxa" w:w="1000"/>
            <w:shd w:fill="004976" w:val="clear"/>
            <w:tcMar>
              <w:top w:type="dxa" w:w="80"/>
              <w:left w:type="dxa" w:w="120"/>
              <w:bottom w:type="dxa" w:w="80"/>
              <w:right w:type="dxa" w:w="120"/>
            </w:tcMar>
          </w:tcPr>
          <w:p>
            <w:pPr>
              <w:jc w:val="center"/>
            </w:pPr>
            <w:r>
              <w:rPr>
                <w:rFonts w:ascii="Roboto" w:cs="Roboto" w:eastAsia="Roboto" w:hAnsi="Roboto"/>
                <w:b/>
                <w:bCs/>
                <w:color w:val="FFFFFF"/>
                <w:sz w:val="20"/>
                <w:szCs w:val="20"/>
              </w:rPr>
              <w:t xml:space="preserve">GPA</w:t>
            </w:r>
          </w:p>
        </w:tc>
        <w:tc>
          <w:tcPr>
            <w:tcW w:type="dxa" w:w="6306"/>
            <w:shd w:fill="004976" w:val="clear"/>
            <w:tcMar>
              <w:top w:type="dxa" w:w="80"/>
              <w:left w:type="dxa" w:w="120"/>
              <w:bottom w:type="dxa" w:w="80"/>
              <w:right w:type="dxa" w:w="120"/>
            </w:tcMar>
          </w:tcPr>
          <w:p>
            <w:pPr>
              <w:spacing w:after="0" w:line="264"/>
            </w:pPr>
            <w:r>
              <w:rPr>
                <w:rFonts w:ascii="Roboto" w:cs="Roboto" w:eastAsia="Roboto" w:hAnsi="Roboto"/>
                <w:b/>
                <w:bCs/>
                <w:color w:val="FFFFFF"/>
                <w:sz w:val="20"/>
                <w:szCs w:val="20"/>
              </w:rPr>
              <w:t xml:space="preserve">What the evidence must show (the generic descriptor, applied to the goal named by the competency)</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No level awarded</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0</w:t>
            </w:r>
          </w:p>
        </w:tc>
        <w:tc>
          <w:tcPr>
            <w:tcW w:type="dxa" w:w="6306"/>
            <w:shd w:fill="FFFFFF"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Does not have a rationale for what they would do to achieve the goal in at least one scenario.</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Theorist</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2</w:t>
            </w:r>
          </w:p>
        </w:tc>
        <w:tc>
          <w:tcPr>
            <w:tcW w:type="dxa" w:w="6306"/>
            <w:shd w:fill="FFFFFF"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Has a rationale for what they would do to achieve the goal in at least one scenario.</w:t>
            </w:r>
          </w:p>
        </w:tc>
      </w:tr>
      <w:tr>
        <w:tc>
          <w:tcPr>
            <w:tcW w:type="dxa" w:w="2200"/>
            <w:shd w:fill="EDF0DE" w:val="clear"/>
            <w:tcMar>
              <w:top w:type="dxa" w:w="80"/>
              <w:left w:type="dxa" w:w="120"/>
              <w:bottom w:type="dxa" w:w="80"/>
              <w:right w:type="dxa" w:w="120"/>
            </w:tcMar>
          </w:tcPr>
          <w:p>
            <w:r>
              <w:rPr>
                <w:rFonts w:ascii="Roboto" w:cs="Roboto" w:eastAsia="Roboto" w:hAnsi="Roboto"/>
                <w:b/>
                <w:bCs/>
                <w:color w:val="041E42"/>
                <w:sz w:val="20"/>
                <w:szCs w:val="20"/>
              </w:rPr>
              <w:t xml:space="preserve">Practitioner (credit awarded)</w:t>
            </w:r>
          </w:p>
        </w:tc>
        <w:tc>
          <w:tcPr>
            <w:tcW w:type="dxa" w:w="1000"/>
            <w:shd w:fill="EDF0DE" w:val="clear"/>
            <w:tcMar>
              <w:top w:type="dxa" w:w="80"/>
              <w:left w:type="dxa" w:w="120"/>
              <w:bottom w:type="dxa" w:w="80"/>
              <w:right w:type="dxa" w:w="120"/>
            </w:tcMar>
          </w:tcPr>
          <w:p>
            <w:pPr>
              <w:jc w:val="center"/>
            </w:pPr>
            <w:r>
              <w:rPr>
                <w:rFonts w:ascii="Roboto" w:cs="Roboto" w:eastAsia="Roboto" w:hAnsi="Roboto"/>
                <w:color w:val="041E42"/>
                <w:sz w:val="20"/>
                <w:szCs w:val="20"/>
              </w:rPr>
              <w:t xml:space="preserve">3</w:t>
            </w:r>
          </w:p>
        </w:tc>
        <w:tc>
          <w:tcPr>
            <w:tcW w:type="dxa" w:w="6306"/>
            <w:shd w:fill="EDF0DE"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Has attempted to achieve the goal in at least one scenario and has a clear rationale for their actions.</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Reflective Practitioner</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3.5</w:t>
            </w:r>
          </w:p>
        </w:tc>
        <w:tc>
          <w:tcPr>
            <w:tcW w:type="dxa" w:w="6306"/>
            <w:shd w:fill="FFFFFF" w:val="clear"/>
            <w:tcMar>
              <w:top w:type="dxa" w:w="80"/>
              <w:left w:type="dxa" w:w="120"/>
              <w:bottom w:type="dxa" w:w="80"/>
              <w:right w:type="dxa" w:w="120"/>
            </w:tcMar>
          </w:tcPr>
          <w:p>
            <w:pPr>
              <w:spacing w:after="60" w:line="264"/>
            </w:pPr>
            <w:r>
              <w:rPr>
                <w:rFonts w:ascii="Lato" w:cs="Lato" w:eastAsia="Lato" w:hAnsi="Lato"/>
                <w:b w:val="false"/>
                <w:bCs w:val="false"/>
                <w:color w:val="041E42"/>
                <w:sz w:val="20"/>
                <w:szCs w:val="20"/>
              </w:rPr>
              <w:t xml:space="preserve">Has achieved the goal in at least one scenario, with a clear rationale; and</w:t>
            </w:r>
          </w:p>
          <w:p>
            <w:pPr>
              <w:spacing w:after="0" w:line="264"/>
            </w:pPr>
            <w:r>
              <w:rPr>
                <w:rFonts w:ascii="Lato" w:cs="Lato" w:eastAsia="Lato" w:hAnsi="Lato"/>
                <w:b w:val="false"/>
                <w:bCs w:val="false"/>
                <w:color w:val="041E42"/>
                <w:sz w:val="20"/>
                <w:szCs w:val="20"/>
              </w:rPr>
              <w:t xml:space="preserve">Has identified strengths, weaknesses and improvements in their approach in at least one scenario, supporting their claims with evidence.</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Expert Practitioner</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4</w:t>
            </w:r>
          </w:p>
        </w:tc>
        <w:tc>
          <w:tcPr>
            <w:tcW w:type="dxa" w:w="6306"/>
            <w:shd w:fill="FFFFFF" w:val="clear"/>
            <w:tcMar>
              <w:top w:type="dxa" w:w="80"/>
              <w:left w:type="dxa" w:w="120"/>
              <w:bottom w:type="dxa" w:w="80"/>
              <w:right w:type="dxa" w:w="120"/>
            </w:tcMar>
          </w:tcPr>
          <w:p>
            <w:pPr>
              <w:spacing w:after="60" w:line="264"/>
            </w:pPr>
            <w:r>
              <w:rPr>
                <w:rFonts w:ascii="Lato" w:cs="Lato" w:eastAsia="Lato" w:hAnsi="Lato"/>
                <w:b w:val="false"/>
                <w:bCs w:val="false"/>
                <w:color w:val="041E42"/>
                <w:sz w:val="20"/>
                <w:szCs w:val="20"/>
              </w:rPr>
              <w:t xml:space="preserve">Has achieved the goal in two or more scenarios, with a clear rationale;</w:t>
            </w:r>
          </w:p>
          <w:p>
            <w:pPr>
              <w:spacing w:after="60" w:line="264"/>
            </w:pPr>
            <w:r>
              <w:rPr>
                <w:rFonts w:ascii="Lato" w:cs="Lato" w:eastAsia="Lato" w:hAnsi="Lato"/>
                <w:b w:val="false"/>
                <w:bCs w:val="false"/>
                <w:color w:val="041E42"/>
                <w:sz w:val="20"/>
                <w:szCs w:val="20"/>
              </w:rPr>
              <w:t xml:space="preserve">Has identified strengths, weaknesses and improvements in two or more scenarios, supported with evidence; and</w:t>
            </w:r>
          </w:p>
          <w:p>
            <w:pPr>
              <w:spacing w:after="0" w:line="264"/>
            </w:pPr>
            <w:r>
              <w:rPr>
                <w:rFonts w:ascii="Lato" w:cs="Lato" w:eastAsia="Lato" w:hAnsi="Lato"/>
                <w:b w:val="false"/>
                <w:bCs w:val="false"/>
                <w:color w:val="041E42"/>
                <w:sz w:val="20"/>
                <w:szCs w:val="20"/>
              </w:rPr>
              <w:t xml:space="preserve">Has implemented improvements in their approach, demonstrating growth over time.</w:t>
            </w:r>
          </w:p>
        </w:tc>
      </w:tr>
    </w:tbl>
    <w:p>
      <w:pPr>
        <w:spacing w:after="60"/>
      </w:pPr>
    </w:p>
    <w:p>
      <w:pPr>
        <w:spacing w:after="60" w:line="276"/>
      </w:pPr>
      <w:r>
        <w:rPr>
          <w:rFonts w:ascii="Lato" w:cs="Lato" w:eastAsia="Lato" w:hAnsi="Lato"/>
          <w:b w:val="false"/>
          <w:bCs w:val="false"/>
          <w:i w:val="false"/>
          <w:iCs w:val="false"/>
          <w:color w:val="041E42"/>
          <w:sz w:val="21"/>
          <w:szCs w:val="21"/>
        </w:rPr>
        <w:t xml:space="preserve">What changes between adjacent levels, in one line each: No Level to Theorist, a rationale appears; Theorist to Practitioner, an attempt is made (this is the credit line); Practitioner to Reflective, the attempt achieves the goal and is joined by evidenced reflection; Reflective to Expert, achievement and reflection recur across two or more scenarios and an improvement is implemented over time.</w:t>
      </w:r>
    </w:p>
    <w:p>
      <w:pPr>
        <w:pBdr>
          <w:bottom w:val="single" w:color="8F993E" w:sz="6" w:space="4"/>
        </w:pBdr>
        <w:spacing w:after="100" w:before="260"/>
      </w:pPr>
      <w:r>
        <w:rPr>
          <w:rFonts w:ascii="Roboto" w:cs="Roboto" w:eastAsia="Roboto" w:hAnsi="Roboto"/>
          <w:b/>
          <w:bCs/>
          <w:color w:val="004976"/>
          <w:sz w:val="30"/>
          <w:szCs w:val="30"/>
        </w:rPr>
        <w:t xml:space="preserve">How these cases are built</w:t>
      </w:r>
    </w:p>
    <w:p>
      <w:pPr>
        <w:spacing w:after="100" w:line="276"/>
      </w:pPr>
      <w:r>
        <w:rPr>
          <w:rFonts w:ascii="Lato" w:cs="Lato" w:eastAsia="Lato" w:hAnsi="Lato"/>
          <w:b w:val="false"/>
          <w:bCs w:val="false"/>
          <w:i w:val="false"/>
          <w:iCs w:val="false"/>
          <w:color w:val="041E42"/>
          <w:sz w:val="21"/>
          <w:szCs w:val="21"/>
        </w:rPr>
        <w:t xml:space="preserve">The judgement is about the learner’s competence, drawn from what the educator has seen them do and achieve, sometimes across more than one situation and sometimes within a single piece of work. It is not the grading of a project.</w:t>
      </w:r>
    </w:p>
    <w:p>
      <w:pPr>
        <w:spacing w:after="100" w:line="276"/>
      </w:pPr>
      <w:r>
        <w:rPr>
          <w:rFonts w:ascii="Lato" w:cs="Lato" w:eastAsia="Lato" w:hAnsi="Lato"/>
          <w:b w:val="false"/>
          <w:bCs w:val="false"/>
          <w:i w:val="false"/>
          <w:iCs w:val="false"/>
          <w:color w:val="041E42"/>
          <w:sz w:val="21"/>
          <w:szCs w:val="21"/>
        </w:rPr>
        <w:t xml:space="preserve">The reflective dimension at Reflective and Expert must be about the learner’s approach to the competency itself, not the topic they worked on, and it can surface through any source: a conversation, a written reflection, a presentation, a competency showcase, a performance.</w:t>
      </w:r>
    </w:p>
    <w:p>
      <w:pPr>
        <w:spacing w:after="100" w:line="276"/>
      </w:pPr>
      <w:r>
        <w:rPr>
          <w:rFonts w:ascii="Lato" w:cs="Lato" w:eastAsia="Lato" w:hAnsi="Lato"/>
          <w:b w:val="false"/>
          <w:bCs w:val="false"/>
          <w:i w:val="false"/>
          <w:iCs w:val="false"/>
          <w:color w:val="041E42"/>
          <w:sz w:val="21"/>
          <w:szCs w:val="21"/>
        </w:rPr>
        <w:t xml:space="preserve">The signals that decide the level, a rationale, an attempt, an achievement, evidenced reflection, are embedded in the evidence rather than labelled, and the reflective dimension is shown rather than announced as backed by evidence. The number of sources varies and is not tied to the level. Finding the signals is the assessment task.</w:t>
      </w:r>
    </w:p>
    <w:p>
      <w:pPr>
        <w:spacing w:after="60" w:line="276"/>
      </w:pPr>
      <w:r>
        <w:rPr>
          <w:rFonts w:ascii="Lato" w:cs="Lato" w:eastAsia="Lato" w:hAnsi="Lato"/>
          <w:b w:val="false"/>
          <w:bCs w:val="false"/>
          <w:i w:val="false"/>
          <w:iCs w:val="false"/>
          <w:color w:val="041E42"/>
          <w:sz w:val="21"/>
          <w:szCs w:val="21"/>
        </w:rPr>
        <w:t xml:space="preserve">One caution for calibration: the breadth of what the educator knows about a learner does not change the scale’s scenario counts. It is still one achieved-and-reflected scenario that marks Reflective, and two or more with improvement over time that mark Expert.</w:t>
      </w:r>
    </w:p>
    <w:p>
      <w:pPr>
        <w:pBdr>
          <w:bottom w:val="single" w:color="8F993E" w:sz="6" w:space="4"/>
        </w:pBdr>
        <w:spacing w:after="100" w:before="260"/>
      </w:pPr>
      <w:r>
        <w:rPr>
          <w:rFonts w:ascii="Roboto" w:cs="Roboto" w:eastAsia="Roboto" w:hAnsi="Roboto"/>
          <w:b/>
          <w:bCs/>
          <w:color w:val="004976"/>
          <w:sz w:val="30"/>
          <w:szCs w:val="30"/>
        </w:rPr>
        <w:t xml:space="preserve">Set and pursue goals</w:t>
      </w:r>
    </w:p>
    <w:p>
      <w:pPr>
        <w:spacing w:after="60"/>
      </w:pPr>
      <w:r>
        <w:rPr>
          <w:rFonts w:ascii="Lato" w:cs="Lato" w:eastAsia="Lato" w:hAnsi="Lato"/>
          <w:color w:val="97999B"/>
          <w:sz w:val="20"/>
          <w:szCs w:val="20"/>
        </w:rPr>
        <w:t xml:space="preserve">FSL2  ·  Foundational  ·  Self-navigated Learning</w:t>
      </w:r>
    </w:p>
    <w:p>
      <w:pPr>
        <w:spacing w:after="160"/>
      </w:pPr>
      <w:r>
        <w:rPr>
          <w:rFonts w:ascii="Lato" w:cs="Lato" w:eastAsia="Lato" w:hAnsi="Lato"/>
          <w:b/>
          <w:bCs/>
          <w:color w:val="004976"/>
          <w:sz w:val="21"/>
          <w:szCs w:val="21"/>
        </w:rPr>
        <w:t xml:space="preserve">Goal: </w:t>
      </w:r>
      <w:r>
        <w:rPr>
          <w:rFonts w:ascii="Lato" w:cs="Lato" w:eastAsia="Lato" w:hAnsi="Lato"/>
          <w:color w:val="041E42"/>
          <w:sz w:val="21"/>
          <w:szCs w:val="21"/>
        </w:rPr>
        <w:t xml:space="preserve">The learner can establish clear objectives for learning and growth and take deliberate steps to make progress towards them.</w:t>
      </w:r>
    </w:p>
    <w:p>
      <w:pPr>
        <w:spacing w:after="100" w:before="240"/>
      </w:pPr>
      <w:r>
        <w:rPr>
          <w:rFonts w:ascii="Roboto" w:cs="Roboto" w:eastAsia="Roboto" w:hAnsi="Roboto"/>
          <w:b/>
          <w:bCs/>
          <w:color w:val="004976"/>
          <w:sz w:val="25"/>
          <w:szCs w:val="25"/>
        </w:rPr>
        <w:t xml:space="preserve">Case FSL2-01  ·  No level awarded</w:t>
      </w:r>
    </w:p>
    <w:p>
      <w:pPr>
        <w:spacing w:after="120"/>
      </w:pPr>
      <w:r>
        <w:rPr>
          <w:rFonts w:ascii="Lato" w:cs="Lato" w:eastAsia="Lato" w:hAnsi="Lato"/>
          <w:i/>
          <w:iCs/>
          <w:color w:val="97999B"/>
          <w:sz w:val="21"/>
          <w:szCs w:val="21"/>
        </w:rPr>
        <w:t xml:space="preserve">Yusuf  ·  Jordan</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Yusuf is a learner in Jordan. His educator is building a picture of how he sets and pursues goals for his own learning. The evidence below comes from a goal-setting activity and from conversations across the first few weeks of term.</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When the group did a goal-setting activity at the start of term, the educator reviewed what Yusuf produced. Against the objective he had written that he wanted to do better and be more successful; the steps section was left blank; and where the sheet asked how he would know he had made progress, he had written that it would be when things are good.</w:t>
      </w:r>
    </w:p>
    <w:p>
      <w:pPr>
        <w:spacing w:after="140" w:line="276"/>
      </w:pPr>
      <w:r>
        <w:rPr>
          <w:rFonts w:ascii="Lato" w:cs="Lato" w:eastAsia="Lato" w:hAnsi="Lato"/>
          <w:b w:val="false"/>
          <w:bCs w:val="false"/>
          <w:i w:val="false"/>
          <w:iCs w:val="false"/>
          <w:color w:val="041E42"/>
          <w:sz w:val="21"/>
          <w:szCs w:val="21"/>
        </w:rPr>
        <w:t xml:space="preserve">In conversation over the following weeks, the educator returned to the question more than once, asking Yusuf what he wanted to work towards and how he might go about it. He said he was not sure, maybe everything, and when asked what a first step might look like he said he would think about it. He could not name a goal he was pursuing or describe how he would pursue one; he said he just wanted to be better in class.</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No level awarded</w:t>
            </w:r>
          </w:p>
          <w:p>
            <w:pPr>
              <w:spacing w:after="100" w:line="276"/>
            </w:pPr>
            <w:r>
              <w:rPr>
                <w:rFonts w:ascii="Lato" w:cs="Lato" w:eastAsia="Lato" w:hAnsi="Lato"/>
                <w:color w:val="041E42"/>
                <w:sz w:val="21"/>
                <w:szCs w:val="21"/>
              </w:rPr>
              <w:t xml:space="preserve">The evidence shows no rationale for setting or pursuing a goal. Across the goal-setting activity and the conversations that followed, Yusuf cannot name a clear objective or describe any step he would take towards one; "do better and be more successful" is an aspiration, not an objective with a rationale behind it.</w:t>
            </w:r>
          </w:p>
          <w:p>
            <w:pPr>
              <w:spacing w:after="100" w:line="276"/>
            </w:pPr>
            <w:r>
              <w:rPr>
                <w:rFonts w:ascii="Lato" w:cs="Lato" w:eastAsia="Lato" w:hAnsi="Lato"/>
                <w:color w:val="041E42"/>
                <w:sz w:val="21"/>
                <w:szCs w:val="21"/>
              </w:rPr>
              <w:t xml:space="preserve">Because there is no rationale for what he would do to achieve a goal in even one scenario, the evidence does not reach Theorist.</w:t>
            </w:r>
          </w:p>
          <w:p>
            <w:pPr>
              <w:spacing w:after="0" w:line="276"/>
            </w:pPr>
            <w:r>
              <w:rPr>
                <w:rFonts w:ascii="Lato" w:cs="Lato" w:eastAsia="Lato" w:hAnsi="Lato"/>
                <w:color w:val="041E42"/>
                <w:sz w:val="21"/>
                <w:szCs w:val="21"/>
              </w:rPr>
              <w:t xml:space="preserve">Watch here: a genuine wish to improve can tempt an award of Theorist out of encouragement. Wanting an outcome is not the same as having a rationale for how to pursue it.</w:t>
            </w:r>
          </w:p>
        </w:tc>
      </w:tr>
    </w:tbl>
    <w:p>
      <w:pPr>
        <w:spacing w:after="80"/>
      </w:pPr>
    </w:p>
    <w:p>
      <w:pPr>
        <w:spacing w:after="100" w:before="240"/>
      </w:pPr>
      <w:r>
        <w:rPr>
          <w:rFonts w:ascii="Roboto" w:cs="Roboto" w:eastAsia="Roboto" w:hAnsi="Roboto"/>
          <w:b/>
          <w:bCs/>
          <w:color w:val="004976"/>
          <w:sz w:val="25"/>
          <w:szCs w:val="25"/>
        </w:rPr>
        <w:t xml:space="preserve">Case FSL2-02  ·  Theorist</w:t>
      </w:r>
    </w:p>
    <w:p>
      <w:pPr>
        <w:spacing w:after="120"/>
      </w:pPr>
      <w:r>
        <w:rPr>
          <w:rFonts w:ascii="Lato" w:cs="Lato" w:eastAsia="Lato" w:hAnsi="Lato"/>
          <w:i/>
          <w:iCs/>
          <w:color w:val="97999B"/>
          <w:sz w:val="21"/>
          <w:szCs w:val="21"/>
        </w:rPr>
        <w:t xml:space="preserve">Amina  ·  Kakuma,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Amina is a learner in Kakuma, Kenya. Her educator has seen that she is a confident planner, and is assessing how she sets and pursues goals. One goal in view is her preparation for a showcase where she will pitch an enterprise idea in eight weeks.</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goal plan Amina drew up. In it she set a clear objective, to improve her spoken English so she could pitch confidently at the showcase in eight weeks, and set out the steps she would take: practise with a speaking partner twice a week, record herself weekly and listen back, and ask for feedback after each practice. She had written that speaking was her weakest area and that the pitch carries weight at the showcase, so this was where practice would make the most difference.</w:t>
      </w:r>
    </w:p>
    <w:p>
      <w:pPr>
        <w:spacing w:after="140" w:line="276"/>
      </w:pPr>
      <w:r>
        <w:rPr>
          <w:rFonts w:ascii="Lato" w:cs="Lato" w:eastAsia="Lato" w:hAnsi="Lato"/>
          <w:b w:val="false"/>
          <w:bCs w:val="false"/>
          <w:i w:val="false"/>
          <w:iCs w:val="false"/>
          <w:color w:val="041E42"/>
          <w:sz w:val="21"/>
          <w:szCs w:val="21"/>
        </w:rPr>
        <w:t xml:space="preserve">In conversation the educator asked Amina more broadly how she goes about setting and working towards her goals. She spoke fluently and with energy, describing how she breaks a goal into steps and why she sequences them as she does. She clearly understood what she intended to do.</w:t>
      </w:r>
    </w:p>
    <w:p>
      <w:pPr>
        <w:spacing w:after="140" w:line="276"/>
      </w:pPr>
      <w:r>
        <w:rPr>
          <w:rFonts w:ascii="Lato" w:cs="Lato" w:eastAsia="Lato" w:hAnsi="Lato"/>
          <w:b w:val="false"/>
          <w:bCs w:val="false"/>
          <w:i w:val="false"/>
          <w:iCs w:val="false"/>
          <w:color w:val="041E42"/>
          <w:sz w:val="21"/>
          <w:szCs w:val="21"/>
        </w:rPr>
        <w:t xml:space="preserve">Across the next few weeks, though, the educator saw no sign that Amina had begun any of it. She had not met her speaking partner and had made no recordings, and each time she said she had been meaning to start. Neither this goal nor others she described had moved past planning.</w:t>
      </w:r>
    </w:p>
    <w:p>
      <w:pPr>
        <w:spacing w:after="140" w:line="276"/>
      </w:pPr>
      <w:r>
        <w:rPr>
          <w:rFonts w:ascii="Lato" w:cs="Lato" w:eastAsia="Lato" w:hAnsi="Lato"/>
          <w:b w:val="false"/>
          <w:bCs w:val="false"/>
          <w:i w:val="false"/>
          <w:iCs w:val="false"/>
          <w:color w:val="041E42"/>
          <w:sz w:val="21"/>
          <w:szCs w:val="21"/>
        </w:rPr>
        <w:t xml:space="preserve">A peer mentioned in passing that Amina often talked about her plans but had not started practising with anyone.</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Theorist</w:t>
            </w:r>
          </w:p>
          <w:p>
            <w:pPr>
              <w:spacing w:after="100" w:line="276"/>
            </w:pPr>
            <w:r>
              <w:rPr>
                <w:rFonts w:ascii="Lato" w:cs="Lato" w:eastAsia="Lato" w:hAnsi="Lato"/>
                <w:color w:val="041E42"/>
                <w:sz w:val="21"/>
                <w:szCs w:val="21"/>
              </w:rPr>
              <w:t xml:space="preserve">Amina has a clear objective and a sequence of steps, and a rationale for them: in her plan, and again in conversation, she explains why she would work as she does. That is the rationale an educator has to find in the evidence, and it clears No Level Awarded and meets Theorist.</w:t>
            </w:r>
          </w:p>
          <w:p>
            <w:pPr>
              <w:spacing w:after="100" w:line="276"/>
            </w:pPr>
            <w:r>
              <w:rPr>
                <w:rFonts w:ascii="Lato" w:cs="Lato" w:eastAsia="Lato" w:hAnsi="Lato"/>
                <w:color w:val="041E42"/>
                <w:sz w:val="21"/>
                <w:szCs w:val="21"/>
              </w:rPr>
              <w:t xml:space="preserve">She does not reach Practitioner because there is no attempt: across the weeks the educator observed, and by a peer’s account, she has acted on none of the goals she planned, this one or others.</w:t>
            </w:r>
          </w:p>
          <w:p>
            <w:pPr>
              <w:spacing w:after="0" w:line="276"/>
            </w:pPr>
            <w:r>
              <w:rPr>
                <w:rFonts w:ascii="Lato" w:cs="Lato" w:eastAsia="Lato" w:hAnsi="Lato"/>
                <w:color w:val="041E42"/>
                <w:sz w:val="21"/>
                <w:szCs w:val="21"/>
              </w:rPr>
              <w:t xml:space="preserve">Watch here: the quality of the plan, and the sheer amount of evidence, can tempt an over-award to Practitioner. The credit threshold turns on an actual attempt, not on how well the learner plans or how much they talk about it.</w:t>
            </w:r>
          </w:p>
        </w:tc>
      </w:tr>
    </w:tbl>
    <w:p>
      <w:pPr>
        <w:spacing w:after="80"/>
      </w:pPr>
    </w:p>
    <w:p>
      <w:pPr>
        <w:spacing w:after="100" w:before="240"/>
      </w:pPr>
      <w:r>
        <w:rPr>
          <w:rFonts w:ascii="Roboto" w:cs="Roboto" w:eastAsia="Roboto" w:hAnsi="Roboto"/>
          <w:b/>
          <w:bCs/>
          <w:color w:val="004976"/>
          <w:sz w:val="25"/>
          <w:szCs w:val="25"/>
        </w:rPr>
        <w:t xml:space="preserve">Case FSL2-03  ·  Practitioner (credit awarded)</w:t>
      </w:r>
    </w:p>
    <w:p>
      <w:pPr>
        <w:spacing w:after="120"/>
      </w:pPr>
      <w:r>
        <w:rPr>
          <w:rFonts w:ascii="Lato" w:cs="Lato" w:eastAsia="Lato" w:hAnsi="Lato"/>
          <w:i/>
          <w:iCs/>
          <w:color w:val="97999B"/>
          <w:sz w:val="21"/>
          <w:szCs w:val="21"/>
        </w:rPr>
        <w:t xml:space="preserve">Nadia  ·  Bangladesh</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Nadia is a learner in Bangladesh. Her educator is assessing how she sets and pursues goals, drawing on what she has done recently, including work to improve part of her science project after an earlier draft lost marks.</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a goal Nadia had set herself: to strengthen the data analysis section of her science project after it lost marks. She had set out what she would do, attend the two tutoring sessions on data analysis, redo the analysis, and submit it for feedback, and had noted that the data handling was where she had lost marks, so it was the step most likely to raise the quality of the work.</w:t>
      </w:r>
    </w:p>
    <w:p>
      <w:pPr>
        <w:spacing w:after="140" w:line="276"/>
      </w:pPr>
      <w:r>
        <w:rPr>
          <w:rFonts w:ascii="Lato" w:cs="Lato" w:eastAsia="Lato" w:hAnsi="Lato"/>
          <w:b w:val="false"/>
          <w:bCs w:val="false"/>
          <w:i w:val="false"/>
          <w:iCs w:val="false"/>
          <w:color w:val="041E42"/>
          <w:sz w:val="21"/>
          <w:szCs w:val="21"/>
        </w:rPr>
        <w:t xml:space="preserve">The educator saw Nadia carry the plan out: she attended both sessions, took notes, reworked the section using what she had learned, and submitted it. She could explain why she had chosen each step.</w:t>
      </w:r>
    </w:p>
    <w:p>
      <w:pPr>
        <w:spacing w:after="140" w:line="276"/>
      </w:pPr>
      <w:r>
        <w:rPr>
          <w:rFonts w:ascii="Lato" w:cs="Lato" w:eastAsia="Lato" w:hAnsi="Lato"/>
          <w:b w:val="false"/>
          <w:bCs w:val="false"/>
          <w:i w:val="false"/>
          <w:iCs w:val="false"/>
          <w:color w:val="041E42"/>
          <w:sz w:val="21"/>
          <w:szCs w:val="21"/>
        </w:rPr>
        <w:t xml:space="preserve">In a review conversation, the educator began with how the work had gone and then turned to the competency itself, asking Nadia how she goes about setting and pursuing goals, what tends to work for her and what she would do differently in her approach. She could describe what she had done but not step back from it: she said she was not sure, she had just followed her plan, and named no strength or weakness in how she had gone about it. The revised work had not yet been marked.</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Practitioner</w:t>
            </w:r>
          </w:p>
          <w:p>
            <w:pPr>
              <w:spacing w:after="100" w:line="276"/>
            </w:pPr>
            <w:r>
              <w:rPr>
                <w:rFonts w:ascii="Lato" w:cs="Lato" w:eastAsia="Lato" w:hAnsi="Lato"/>
                <w:color w:val="041E42"/>
                <w:sz w:val="21"/>
                <w:szCs w:val="21"/>
              </w:rPr>
              <w:t xml:space="preserve">Nadia attempted the goal, taking the deliberate steps she planned, and can give a clear rationale for her actions. That meets Practitioner and awards credit.</w:t>
            </w:r>
          </w:p>
          <w:p>
            <w:pPr>
              <w:spacing w:after="100" w:line="276"/>
            </w:pPr>
            <w:r>
              <w:rPr>
                <w:rFonts w:ascii="Lato" w:cs="Lato" w:eastAsia="Lato" w:hAnsi="Lato"/>
                <w:color w:val="041E42"/>
                <w:sz w:val="21"/>
                <w:szCs w:val="21"/>
              </w:rPr>
              <w:t xml:space="preserve">She does not reach Reflective on two counts. There is no evidence yet that the goal was achieved: the revised work has not been marked. And when the educator turned the conversation to how she sets and pursues goals, she identified no strengths, weaknesses or improvements in her approach, so the reflective dimension is absent.</w:t>
            </w:r>
          </w:p>
          <w:p>
            <w:pPr>
              <w:spacing w:after="0" w:line="276"/>
            </w:pPr>
            <w:r>
              <w:rPr>
                <w:rFonts w:ascii="Lato" w:cs="Lato" w:eastAsia="Lato" w:hAnsi="Lato"/>
                <w:color w:val="041E42"/>
                <w:sz w:val="21"/>
                <w:szCs w:val="21"/>
              </w:rPr>
              <w:t xml:space="preserve">Watch here: "attended and resubmitted" can read as achievement and tempt an award of Reflective. Attempt is not achievement, and the reflective dimension is absent.</w:t>
            </w:r>
          </w:p>
        </w:tc>
      </w:tr>
    </w:tbl>
    <w:p>
      <w:pPr>
        <w:spacing w:after="80"/>
      </w:pPr>
    </w:p>
    <w:p>
      <w:pPr>
        <w:spacing w:after="100" w:before="240"/>
      </w:pPr>
      <w:r>
        <w:rPr>
          <w:rFonts w:ascii="Roboto" w:cs="Roboto" w:eastAsia="Roboto" w:hAnsi="Roboto"/>
          <w:b/>
          <w:bCs/>
          <w:color w:val="004976"/>
          <w:sz w:val="25"/>
          <w:szCs w:val="25"/>
        </w:rPr>
        <w:t xml:space="preserve">Case FSL2-04  ·  Reflective Practitioner</w:t>
      </w:r>
    </w:p>
    <w:p>
      <w:pPr>
        <w:spacing w:after="120"/>
      </w:pPr>
      <w:r>
        <w:rPr>
          <w:rFonts w:ascii="Lato" w:cs="Lato" w:eastAsia="Lato" w:hAnsi="Lato"/>
          <w:i/>
          <w:iCs/>
          <w:color w:val="97999B"/>
          <w:sz w:val="21"/>
          <w:szCs w:val="21"/>
        </w:rPr>
        <w:t xml:space="preserve">Sahar  ·  online</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Sahar is an online learner. Her educator is assessing how she sets and pursues goals. The clearest evidence is one goal she set and saw through this term: running the weekly study group for her cohort so that members took part.</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goal Sahar set: to run the weekly online study group so that members took part rather than only attended. She had planned her steps, prepare an agenda each week, assign a role to each member, follow up with anyone who went quiet, and had reasoned that participation drops when sessions are unstructured, so structure and clear roles should help.</w:t>
      </w:r>
    </w:p>
    <w:p>
      <w:pPr>
        <w:spacing w:after="140" w:line="276"/>
      </w:pPr>
      <w:r>
        <w:rPr>
          <w:rFonts w:ascii="Lato" w:cs="Lato" w:eastAsia="Lato" w:hAnsi="Lato"/>
          <w:b w:val="false"/>
          <w:bCs w:val="false"/>
          <w:i w:val="false"/>
          <w:iCs w:val="false"/>
          <w:color w:val="041E42"/>
          <w:sz w:val="21"/>
          <w:szCs w:val="21"/>
        </w:rPr>
        <w:t xml:space="preserve">The educator watched her carry it through across the term. Sahar ran the group each week, and over six weeks the number of members speaking rose from two or three to most of the group, with two who had never spoken beginning to lead parts of the discussion. Alongside this she kept her own week-by-week record of who contributed.</w:t>
      </w:r>
    </w:p>
    <w:p>
      <w:pPr>
        <w:spacing w:after="140" w:line="276"/>
      </w:pPr>
      <w:r>
        <w:rPr>
          <w:rFonts w:ascii="Lato" w:cs="Lato" w:eastAsia="Lato" w:hAnsi="Lato"/>
          <w:b w:val="false"/>
          <w:bCs w:val="false"/>
          <w:i w:val="false"/>
          <w:iCs w:val="false"/>
          <w:color w:val="041E42"/>
          <w:sz w:val="21"/>
          <w:szCs w:val="21"/>
        </w:rPr>
        <w:t xml:space="preserve">At a session where learners each presented a goal they had worked on that term, Sahar spoke as much about how she had gone about it as about the group itself. Defining what she wanted as each member speaking every week, rather than just attending, had let her see week to week whether it was working, and she showed the record where the names contributing spread from three to nine. She was also frank about what had not worked: she had set all her steps at the start and left no point to check partway, so she only noticed her first agenda was too full after two members had drifted away, and she said she would build in a mid-term check if she ran it again.</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Reflective Practitioner</w:t>
            </w:r>
          </w:p>
          <w:p>
            <w:pPr>
              <w:spacing w:after="100" w:line="276"/>
            </w:pPr>
            <w:r>
              <w:rPr>
                <w:rFonts w:ascii="Lato" w:cs="Lato" w:eastAsia="Lato" w:hAnsi="Lato"/>
                <w:color w:val="041E42"/>
                <w:sz w:val="21"/>
                <w:szCs w:val="21"/>
              </w:rPr>
              <w:t xml:space="preserve">Sahar achieved the goal in one scenario with a clear rationale, and the reflective dimension is present: presenting her work, she set out a strength, a weakness and a concrete improvement in how she set and pursued the goal, and grounded each in what actually happened, the spread from three contributors to nine and the two members lost after an over-full agenda, rather than asserting them. The reflection is about her goal-pursuit approach, not the group as a topic, and it reaches the educator through a presentation rather than a written self-reflection; both count. That meets Reflective Practitioner.</w:t>
            </w:r>
          </w:p>
          <w:p>
            <w:pPr>
              <w:spacing w:after="100" w:line="276"/>
            </w:pPr>
            <w:r>
              <w:rPr>
                <w:rFonts w:ascii="Lato" w:cs="Lato" w:eastAsia="Lato" w:hAnsi="Lato"/>
                <w:color w:val="041E42"/>
                <w:sz w:val="21"/>
                <w:szCs w:val="21"/>
              </w:rPr>
              <w:t xml:space="preserve">She does not reach Expert because the achievement sits in a single scenario, and she has not yet implemented her identified improvement in a second scenario over time.</w:t>
            </w:r>
          </w:p>
          <w:p>
            <w:pPr>
              <w:spacing w:after="0" w:line="276"/>
            </w:pPr>
            <w:r>
              <w:rPr>
                <w:rFonts w:ascii="Lato" w:cs="Lato" w:eastAsia="Lato" w:hAnsi="Lato"/>
                <w:color w:val="041E42"/>
                <w:sz w:val="21"/>
                <w:szCs w:val="21"/>
              </w:rPr>
              <w:t xml:space="preserve">Watch here: the richness of the reflection can tempt an Expert award. Expert requires two or more scenarios and improvement actually implemented and shown to work, neither of which is present yet.</w:t>
            </w:r>
          </w:p>
        </w:tc>
      </w:tr>
    </w:tbl>
    <w:p>
      <w:pPr>
        <w:spacing w:after="80"/>
      </w:pPr>
    </w:p>
    <w:p>
      <w:pPr>
        <w:spacing w:after="100" w:before="240"/>
      </w:pPr>
      <w:r>
        <w:rPr>
          <w:rFonts w:ascii="Roboto" w:cs="Roboto" w:eastAsia="Roboto" w:hAnsi="Roboto"/>
          <w:b/>
          <w:bCs/>
          <w:color w:val="004976"/>
          <w:sz w:val="25"/>
          <w:szCs w:val="25"/>
        </w:rPr>
        <w:t xml:space="preserve">Case FSL2-05  ·  Expert Practitioner</w:t>
      </w:r>
    </w:p>
    <w:p>
      <w:pPr>
        <w:spacing w:after="120"/>
      </w:pPr>
      <w:r>
        <w:rPr>
          <w:rFonts w:ascii="Lato" w:cs="Lato" w:eastAsia="Lato" w:hAnsi="Lato"/>
          <w:i/>
          <w:iCs/>
          <w:color w:val="97999B"/>
          <w:sz w:val="21"/>
          <w:szCs w:val="21"/>
        </w:rPr>
        <w:t xml:space="preserve">Mya  ·  Thailand</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Mya is a learner in Thailand. Her educator has seen her set and pursue goals in more than one situation across the year, and is assessing the competency across that fuller picture. Two clear instances are a neighbourhood clean-up and, later, a fundraising drive for the school library.</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goals Mya set in each. For the clean-up she wrote that she chose it because litter on the route to school was something she and her classmates kept raising; for the fundraiser, set later, she noted she wanted to fix a problem she had run into the first time. Each came with the steps she would take.</w:t>
      </w:r>
    </w:p>
    <w:p>
      <w:pPr>
        <w:spacing w:after="140" w:line="276"/>
      </w:pPr>
      <w:r>
        <w:rPr>
          <w:rFonts w:ascii="Lato" w:cs="Lato" w:eastAsia="Lato" w:hAnsi="Lato"/>
          <w:b w:val="false"/>
          <w:bCs w:val="false"/>
          <w:i w:val="false"/>
          <w:iCs w:val="false"/>
          <w:color w:val="041E42"/>
          <w:sz w:val="21"/>
          <w:szCs w:val="21"/>
        </w:rPr>
        <w:t xml:space="preserve">The educator knew the clean-up went ahead, drawing around fifteen participants and clearing the target area.</w:t>
      </w:r>
    </w:p>
    <w:p>
      <w:pPr>
        <w:spacing w:after="140" w:line="276"/>
      </w:pPr>
      <w:r>
        <w:rPr>
          <w:rFonts w:ascii="Lato" w:cs="Lato" w:eastAsia="Lato" w:hAnsi="Lato"/>
          <w:b w:val="false"/>
          <w:bCs w:val="false"/>
          <w:i w:val="false"/>
          <w:iCs w:val="false"/>
          <w:color w:val="041E42"/>
          <w:sz w:val="21"/>
          <w:szCs w:val="21"/>
        </w:rPr>
        <w:t xml:space="preserve">Later in the year the educator saw the fundraising drive meet its target within three weeks.</w:t>
      </w:r>
    </w:p>
    <w:p>
      <w:pPr>
        <w:spacing w:after="140" w:line="276"/>
      </w:pPr>
      <w:r>
        <w:rPr>
          <w:rFonts w:ascii="Lato" w:cs="Lato" w:eastAsia="Lato" w:hAnsi="Lato"/>
          <w:b w:val="false"/>
          <w:bCs w:val="false"/>
          <w:i w:val="false"/>
          <w:iCs w:val="false"/>
          <w:color w:val="041E42"/>
          <w:sz w:val="21"/>
          <w:szCs w:val="21"/>
        </w:rPr>
        <w:t xml:space="preserve">At an end-of-year showcase, Mya presented both efforts and talked through how her way of setting and pursuing goals had changed between them. For the clean-up, she said, she had left telling people until close to the day, and only about fifteen came, several of them saying they had heard only the day before. For the fundraiser she had planned the announcements first, starting two weeks ahead, and she showed how sign-ups came in steadily from the first days rather than in a last-minute rush. She was clear about what she had carried from the first effort into the second and why.</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Expert Practitioner</w:t>
            </w:r>
          </w:p>
          <w:p>
            <w:pPr>
              <w:spacing w:after="100" w:line="276"/>
            </w:pPr>
            <w:r>
              <w:rPr>
                <w:rFonts w:ascii="Lato" w:cs="Lato" w:eastAsia="Lato" w:hAnsi="Lato"/>
                <w:color w:val="041E42"/>
                <w:sz w:val="21"/>
                <w:szCs w:val="21"/>
              </w:rPr>
              <w:t xml:space="preserve">Mya achieved the goal in two distinct scenarios with a clear rationale, and the reflective dimension is present in both. She implemented an improvement carried from the first scenario to the second, planning her outreach earlier, and what she showed at the showcase, late and thin turnout the first time against steady early sign-ups the second, demonstrates the change worked. The improvement is to her goal-pursuit approach, which is what this competency assesses.</w:t>
            </w:r>
          </w:p>
          <w:p>
            <w:pPr>
              <w:spacing w:after="0" w:line="276"/>
            </w:pPr>
            <w:r>
              <w:rPr>
                <w:rFonts w:ascii="Lato" w:cs="Lato" w:eastAsia="Lato" w:hAnsi="Lato"/>
                <w:color w:val="041E42"/>
                <w:sz w:val="21"/>
                <w:szCs w:val="21"/>
              </w:rPr>
              <w:t xml:space="preserve">That meets every Expert criterion, including growth over time. This is the full top rung: all dimensions are present and evidenced across more than one scenario.</w:t>
            </w:r>
          </w:p>
        </w:tc>
      </w:tr>
    </w:tbl>
    <w:p>
      <w:pPr>
        <w:spacing w:after="80"/>
      </w:pPr>
    </w:p>
    <w:p>
      <w:pPr>
        <w:pBdr>
          <w:bottom w:val="single" w:color="8F993E" w:sz="6" w:space="4"/>
        </w:pBdr>
        <w:spacing w:after="100" w:before="260"/>
      </w:pPr>
      <w:r>
        <w:rPr>
          <w:rFonts w:ascii="Roboto" w:cs="Roboto" w:eastAsia="Roboto" w:hAnsi="Roboto"/>
          <w:b/>
          <w:bCs/>
          <w:color w:val="004976"/>
          <w:sz w:val="30"/>
          <w:szCs w:val="30"/>
        </w:rPr>
        <w:t xml:space="preserve">Investigate real-world issues</w:t>
      </w:r>
    </w:p>
    <w:p>
      <w:pPr>
        <w:spacing w:after="60"/>
      </w:pPr>
      <w:r>
        <w:rPr>
          <w:rFonts w:ascii="Lato" w:cs="Lato" w:eastAsia="Lato" w:hAnsi="Lato"/>
          <w:color w:val="97999B"/>
          <w:sz w:val="20"/>
          <w:szCs w:val="20"/>
        </w:rPr>
        <w:t xml:space="preserve">FSI1  ·  Foundational  ·  Sustainable Innovation</w:t>
      </w:r>
    </w:p>
    <w:p>
      <w:pPr>
        <w:spacing w:after="160"/>
      </w:pPr>
      <w:r>
        <w:rPr>
          <w:rFonts w:ascii="Lato" w:cs="Lato" w:eastAsia="Lato" w:hAnsi="Lato"/>
          <w:b/>
          <w:bCs/>
          <w:color w:val="004976"/>
          <w:sz w:val="21"/>
          <w:szCs w:val="21"/>
        </w:rPr>
        <w:t xml:space="preserve">Goal: </w:t>
      </w:r>
      <w:r>
        <w:rPr>
          <w:rFonts w:ascii="Lato" w:cs="Lato" w:eastAsia="Lato" w:hAnsi="Lato"/>
          <w:color w:val="041E42"/>
          <w:sz w:val="21"/>
          <w:szCs w:val="21"/>
        </w:rPr>
        <w:t xml:space="preserve">The learner can conduct primary and secondary research into challenges affecting people and the planet to develop actionable insights.</w:t>
      </w:r>
    </w:p>
    <w:p>
      <w:pPr>
        <w:spacing w:after="100" w:before="240"/>
      </w:pPr>
      <w:r>
        <w:rPr>
          <w:rFonts w:ascii="Roboto" w:cs="Roboto" w:eastAsia="Roboto" w:hAnsi="Roboto"/>
          <w:b/>
          <w:bCs/>
          <w:color w:val="004976"/>
          <w:sz w:val="25"/>
          <w:szCs w:val="25"/>
        </w:rPr>
        <w:t xml:space="preserve">Case FSI1-01  ·  No level awarded</w:t>
      </w:r>
    </w:p>
    <w:p>
      <w:pPr>
        <w:spacing w:after="120"/>
      </w:pPr>
      <w:r>
        <w:rPr>
          <w:rFonts w:ascii="Lato" w:cs="Lato" w:eastAsia="Lato" w:hAnsi="Lato"/>
          <w:i/>
          <w:iCs/>
          <w:color w:val="97999B"/>
          <w:sz w:val="21"/>
          <w:szCs w:val="21"/>
        </w:rPr>
        <w:t xml:space="preserve">Bilal  ·  Lebanon</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Bilal is a learner in Lebanon. His educator is assessing how he investigates real-world issues. The evidence comes from an activity where learners chose an issue to look into and from conversations in the weeks that followed.</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In the activity, the educator reviewed what Bilal produced. He had named a topic, rubbish piling up in his neighbourhood, but had not framed a question about it or set down how he might find anything out. Where the sheet asked what he would look at and why, it was left blank.</w:t>
      </w:r>
    </w:p>
    <w:p>
      <w:pPr>
        <w:spacing w:after="140" w:line="276"/>
      </w:pPr>
      <w:r>
        <w:rPr>
          <w:rFonts w:ascii="Lato" w:cs="Lato" w:eastAsia="Lato" w:hAnsi="Lato"/>
          <w:b w:val="false"/>
          <w:bCs w:val="false"/>
          <w:i w:val="false"/>
          <w:iCs w:val="false"/>
          <w:color w:val="041E42"/>
          <w:sz w:val="21"/>
          <w:szCs w:val="21"/>
        </w:rPr>
        <w:t xml:space="preserve">In conversation, the educator asked Bilal how he might find out more about the problem, what he would look at, who he might ask, how he would judge whether what he found was reliable. He said he was not sure, maybe just look around, and could not describe any way of going about it. He did not distinguish between finding things out first-hand and drawing on what others had already gathered.</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No level awarded</w:t>
            </w:r>
          </w:p>
          <w:p>
            <w:pPr>
              <w:spacing w:after="100" w:line="276"/>
            </w:pPr>
            <w:r>
              <w:rPr>
                <w:rFonts w:ascii="Lato" w:cs="Lato" w:eastAsia="Lato" w:hAnsi="Lato"/>
                <w:color w:val="041E42"/>
                <w:sz w:val="21"/>
                <w:szCs w:val="21"/>
              </w:rPr>
              <w:t xml:space="preserve">The evidence shows no rationale for investigating the issue. Bilal names a topic but frames no question and can describe no way of researching it, first-hand or otherwise; naming a problem is not the same as having an approach to looking into it.</w:t>
            </w:r>
          </w:p>
          <w:p>
            <w:pPr>
              <w:spacing w:after="100" w:line="276"/>
            </w:pPr>
            <w:r>
              <w:rPr>
                <w:rFonts w:ascii="Lato" w:cs="Lato" w:eastAsia="Lato" w:hAnsi="Lato"/>
                <w:color w:val="041E42"/>
                <w:sz w:val="21"/>
                <w:szCs w:val="21"/>
              </w:rPr>
              <w:t xml:space="preserve">Because there is no rationale for how he would research the issue in even one instance, the evidence does not reach Theorist.</w:t>
            </w:r>
          </w:p>
          <w:p>
            <w:pPr>
              <w:spacing w:after="0" w:line="276"/>
            </w:pPr>
            <w:r>
              <w:rPr>
                <w:rFonts w:ascii="Lato" w:cs="Lato" w:eastAsia="Lato" w:hAnsi="Lato"/>
                <w:color w:val="041E42"/>
                <w:sz w:val="21"/>
                <w:szCs w:val="21"/>
              </w:rPr>
              <w:t xml:space="preserve">Watch here: a real and relevant topic can tempt an award of Theorist. The topic is not the competency; the competency is how he would investigate it, and there is no account of that.</w:t>
            </w:r>
          </w:p>
        </w:tc>
      </w:tr>
    </w:tbl>
    <w:p>
      <w:pPr>
        <w:spacing w:after="80"/>
      </w:pPr>
    </w:p>
    <w:p>
      <w:pPr>
        <w:spacing w:after="100" w:before="240"/>
      </w:pPr>
      <w:r>
        <w:rPr>
          <w:rFonts w:ascii="Roboto" w:cs="Roboto" w:eastAsia="Roboto" w:hAnsi="Roboto"/>
          <w:b/>
          <w:bCs/>
          <w:color w:val="004976"/>
          <w:sz w:val="25"/>
          <w:szCs w:val="25"/>
        </w:rPr>
        <w:t xml:space="preserve">Case FSI1-02  ·  Theorist</w:t>
      </w:r>
    </w:p>
    <w:p>
      <w:pPr>
        <w:spacing w:after="120"/>
      </w:pPr>
      <w:r>
        <w:rPr>
          <w:rFonts w:ascii="Lato" w:cs="Lato" w:eastAsia="Lato" w:hAnsi="Lato"/>
          <w:i/>
          <w:iCs/>
          <w:color w:val="97999B"/>
          <w:sz w:val="21"/>
          <w:szCs w:val="21"/>
        </w:rPr>
        <w:t xml:space="preserve">Grace  ·  Kampala, Uganda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Grace is a learner in Kampala, Uganda. Her educator has seen that she plans research carefully, and is assessing how she investigates real-world issues. One issue in view is why many school leavers in her area struggle to find work.</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Grace’s inquiry plan. She had framed a clear question, why school leavers in her area struggle to find work, and set out how she would look into it: interview three recent leavers and two employers, and gather the local youth-service figures on jobs and training. She had written why she chose that mix, that hearing from both sides alongside the figures would give a fuller and more reliable picture than any one source alone.</w:t>
      </w:r>
    </w:p>
    <w:p>
      <w:pPr>
        <w:spacing w:after="140" w:line="276"/>
      </w:pPr>
      <w:r>
        <w:rPr>
          <w:rFonts w:ascii="Lato" w:cs="Lato" w:eastAsia="Lato" w:hAnsi="Lato"/>
          <w:b w:val="false"/>
          <w:bCs w:val="false"/>
          <w:i w:val="false"/>
          <w:iCs w:val="false"/>
          <w:color w:val="041E42"/>
          <w:sz w:val="21"/>
          <w:szCs w:val="21"/>
        </w:rPr>
        <w:t xml:space="preserve">In conversation, the educator asked Grace how she goes about investigating a question. She explained her thinking clearly, why she would draw on people directly and on existing figures, and how she would weigh what she was told against what the numbers showed.</w:t>
      </w:r>
    </w:p>
    <w:p>
      <w:pPr>
        <w:spacing w:after="140" w:line="276"/>
      </w:pPr>
      <w:r>
        <w:rPr>
          <w:rFonts w:ascii="Lato" w:cs="Lato" w:eastAsia="Lato" w:hAnsi="Lato"/>
          <w:b w:val="false"/>
          <w:bCs w:val="false"/>
          <w:i w:val="false"/>
          <w:iCs w:val="false"/>
          <w:color w:val="041E42"/>
          <w:sz w:val="21"/>
          <w:szCs w:val="21"/>
        </w:rPr>
        <w:t xml:space="preserve">Across the following weeks, though, the educator saw no sign she had started. No interviews had been arranged and no figures gathered; she said she was still meaning to begin.</w:t>
      </w:r>
    </w:p>
    <w:p>
      <w:pPr>
        <w:spacing w:after="140" w:line="276"/>
      </w:pPr>
      <w:r>
        <w:rPr>
          <w:rFonts w:ascii="Lato" w:cs="Lato" w:eastAsia="Lato" w:hAnsi="Lato"/>
          <w:b w:val="false"/>
          <w:bCs w:val="false"/>
          <w:i w:val="false"/>
          <w:iCs w:val="false"/>
          <w:color w:val="041E42"/>
          <w:sz w:val="21"/>
          <w:szCs w:val="21"/>
        </w:rPr>
        <w:t xml:space="preserve">Another educator mentioned that Grace had shown her the plan too and had twice refined it, but had not yet approached anyone.</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Theorist</w:t>
            </w:r>
          </w:p>
          <w:p>
            <w:pPr>
              <w:spacing w:after="100" w:line="276"/>
            </w:pPr>
            <w:r>
              <w:rPr>
                <w:rFonts w:ascii="Lato" w:cs="Lato" w:eastAsia="Lato" w:hAnsi="Lato"/>
                <w:color w:val="041E42"/>
                <w:sz w:val="21"/>
                <w:szCs w:val="21"/>
              </w:rPr>
              <w:t xml:space="preserve">Grace has a clear question and a reasoned approach that draws on both first-hand and existing sources, and she can explain why. That is the rationale an educator has to find in the evidence, and it clears No Level Awarded and meets Theorist.</w:t>
            </w:r>
          </w:p>
          <w:p>
            <w:pPr>
              <w:spacing w:after="100" w:line="276"/>
            </w:pPr>
            <w:r>
              <w:rPr>
                <w:rFonts w:ascii="Lato" w:cs="Lato" w:eastAsia="Lato" w:hAnsi="Lato"/>
                <w:color w:val="041E42"/>
                <w:sz w:val="21"/>
                <w:szCs w:val="21"/>
              </w:rPr>
              <w:t xml:space="preserve">She does not reach Practitioner because there is no attempt: across the weeks the educator observed, and by a colleague’s account, she has gathered nothing and spoken to no one. The plan has only been refined, not acted on.</w:t>
            </w:r>
          </w:p>
          <w:p>
            <w:pPr>
              <w:spacing w:after="0" w:line="276"/>
            </w:pPr>
            <w:r>
              <w:rPr>
                <w:rFonts w:ascii="Lato" w:cs="Lato" w:eastAsia="Lato" w:hAnsi="Lato"/>
                <w:color w:val="041E42"/>
                <w:sz w:val="21"/>
                <w:szCs w:val="21"/>
              </w:rPr>
              <w:t xml:space="preserve">Watch here: a strong plan, repeatedly polished, can tempt an over-award to Practitioner. The credit threshold turns on an actual attempt to research, not on the quality of the plan.</w:t>
            </w:r>
          </w:p>
        </w:tc>
      </w:tr>
    </w:tbl>
    <w:p>
      <w:pPr>
        <w:spacing w:after="80"/>
      </w:pPr>
    </w:p>
    <w:p>
      <w:pPr>
        <w:spacing w:after="100" w:before="240"/>
      </w:pPr>
      <w:r>
        <w:rPr>
          <w:rFonts w:ascii="Roboto" w:cs="Roboto" w:eastAsia="Roboto" w:hAnsi="Roboto"/>
          <w:b/>
          <w:bCs/>
          <w:color w:val="004976"/>
          <w:sz w:val="25"/>
          <w:szCs w:val="25"/>
        </w:rPr>
        <w:t xml:space="preserve">Case FSI1-03  ·  Practitioner (credit awarded)</w:t>
      </w:r>
    </w:p>
    <w:p>
      <w:pPr>
        <w:spacing w:after="120"/>
      </w:pPr>
      <w:r>
        <w:rPr>
          <w:rFonts w:ascii="Lato" w:cs="Lato" w:eastAsia="Lato" w:hAnsi="Lato"/>
          <w:i/>
          <w:iCs/>
          <w:color w:val="97999B"/>
          <w:sz w:val="21"/>
          <w:szCs w:val="21"/>
        </w:rPr>
        <w:t xml:space="preserve">Farah  ·  online</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Farah is an online learner. Her educator is assessing how she investigates real-world issues, drawing on an inquiry she has been carrying out into how false health advice spreads in the online groups she uses.</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question Farah set and her approach: she would collect examples of health claims from her groups over two weeks, note where each had come from, and check several against a trusted health source. She reasoned that seeing where claims originated, and testing them against reliable information, would show how the false ones spread.</w:t>
      </w:r>
    </w:p>
    <w:p>
      <w:pPr>
        <w:spacing w:after="140" w:line="276"/>
      </w:pPr>
      <w:r>
        <w:rPr>
          <w:rFonts w:ascii="Lato" w:cs="Lato" w:eastAsia="Lato" w:hAnsi="Lato"/>
          <w:b w:val="false"/>
          <w:bCs w:val="false"/>
          <w:i w:val="false"/>
          <w:iCs w:val="false"/>
          <w:color w:val="041E42"/>
          <w:sz w:val="21"/>
          <w:szCs w:val="21"/>
        </w:rPr>
        <w:t xml:space="preserve">The educator saw Farah carry this out. She gathered a set of examples first-hand, logged their sources, and checked a number of them against the health source she had chosen. She could explain why she had gone about it that way.</w:t>
      </w:r>
    </w:p>
    <w:p>
      <w:pPr>
        <w:spacing w:after="140" w:line="276"/>
      </w:pPr>
      <w:r>
        <w:rPr>
          <w:rFonts w:ascii="Lato" w:cs="Lato" w:eastAsia="Lato" w:hAnsi="Lato"/>
          <w:b w:val="false"/>
          <w:bCs w:val="false"/>
          <w:i w:val="false"/>
          <w:iCs w:val="false"/>
          <w:color w:val="041E42"/>
          <w:sz w:val="21"/>
          <w:szCs w:val="21"/>
        </w:rPr>
        <w:t xml:space="preserve">In the short reflection Farah submitted with her collection, she recounted the steps she had taken and why, but stopped there: she did not say what had worked well or badly in how she had gone about the research, or what she might do differently. The collection itself gathered the examples and their sources but did not draw them into any account of how the false advice spreads or what might reduce it.</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Practitioner</w:t>
            </w:r>
          </w:p>
          <w:p>
            <w:pPr>
              <w:spacing w:after="100" w:line="276"/>
            </w:pPr>
            <w:r>
              <w:rPr>
                <w:rFonts w:ascii="Lato" w:cs="Lato" w:eastAsia="Lato" w:hAnsi="Lato"/>
                <w:color w:val="041E42"/>
                <w:sz w:val="21"/>
                <w:szCs w:val="21"/>
              </w:rPr>
              <w:t xml:space="preserve">Farah attempted the investigation, gathering first-hand examples and checking them against an existing source, with a clear rationale for her method. That meets Practitioner and awards credit.</w:t>
            </w:r>
          </w:p>
          <w:p>
            <w:pPr>
              <w:spacing w:after="100" w:line="276"/>
            </w:pPr>
            <w:r>
              <w:rPr>
                <w:rFonts w:ascii="Lato" w:cs="Lato" w:eastAsia="Lato" w:hAnsi="Lato"/>
                <w:color w:val="041E42"/>
                <w:sz w:val="21"/>
                <w:szCs w:val="21"/>
              </w:rPr>
              <w:t xml:space="preserve">She does not reach Reflective on two counts. The research has not yet developed into an actionable insight: she has collected and sorted material but not turned it into an understanding of how the misinformation spreads. And in the reflection she submitted she recounted her steps but named no strength, weakness or improvement in how she investigates, so the reflective dimension is absent.</w:t>
            </w:r>
          </w:p>
          <w:p>
            <w:pPr>
              <w:spacing w:after="0" w:line="276"/>
            </w:pPr>
            <w:r>
              <w:rPr>
                <w:rFonts w:ascii="Lato" w:cs="Lato" w:eastAsia="Lato" w:hAnsi="Lato"/>
                <w:color w:val="041E42"/>
                <w:sz w:val="21"/>
                <w:szCs w:val="21"/>
              </w:rPr>
              <w:t xml:space="preserve">Watch here: a full set of gathered material can read as a finished investigation and tempt an award of Reflective. Gathering is attempt; the goal is research developed into an actionable insight, which is not yet present, and there is no reflection on approach.</w:t>
            </w:r>
          </w:p>
        </w:tc>
      </w:tr>
    </w:tbl>
    <w:p>
      <w:pPr>
        <w:spacing w:after="80"/>
      </w:pPr>
    </w:p>
    <w:p>
      <w:pPr>
        <w:spacing w:after="100" w:before="240"/>
      </w:pPr>
      <w:r>
        <w:rPr>
          <w:rFonts w:ascii="Roboto" w:cs="Roboto" w:eastAsia="Roboto" w:hAnsi="Roboto"/>
          <w:b/>
          <w:bCs/>
          <w:color w:val="004976"/>
          <w:sz w:val="25"/>
          <w:szCs w:val="25"/>
        </w:rPr>
        <w:t xml:space="preserve">Case FSI1-04  ·  Reflective Practitioner</w:t>
      </w:r>
    </w:p>
    <w:p>
      <w:pPr>
        <w:spacing w:after="120"/>
      </w:pPr>
      <w:r>
        <w:rPr>
          <w:rFonts w:ascii="Lato" w:cs="Lato" w:eastAsia="Lato" w:hAnsi="Lato"/>
          <w:i/>
          <w:iCs/>
          <w:color w:val="97999B"/>
          <w:sz w:val="21"/>
          <w:szCs w:val="21"/>
        </w:rPr>
        <w:t xml:space="preserve">Deng  ·  Kakuma,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Deng is a learner in Kakuma, Kenya. His educator is assessing how he investigates real-world issues. The clearest evidence is one investigation he carried through this term: why some water points in his part of the camp run dry in the afternoons.</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question Deng set and his approach: he would time the flow at three water points across a week and interview families who queued, and would check the posted pumping schedule and any supply records he could obtain. He reasoned that setting what he measured himself against the existing records would explain the pattern rather than guess at it.</w:t>
      </w:r>
    </w:p>
    <w:p>
      <w:pPr>
        <w:spacing w:after="140" w:line="276"/>
      </w:pPr>
      <w:r>
        <w:rPr>
          <w:rFonts w:ascii="Lato" w:cs="Lato" w:eastAsia="Lato" w:hAnsi="Lato"/>
          <w:b w:val="false"/>
          <w:bCs w:val="false"/>
          <w:i w:val="false"/>
          <w:iCs w:val="false"/>
          <w:color w:val="041E42"/>
          <w:sz w:val="21"/>
          <w:szCs w:val="21"/>
        </w:rPr>
        <w:t xml:space="preserve">The educator saw him carry it through. His timings and interviews, set against the pumping schedule, showed the afternoon shortfall followed a scheduled pumping gap rather than the overuse that had been assumed, and he proposed telling the worst-affected families the timing so they could collect earlier.</w:t>
      </w:r>
    </w:p>
    <w:p>
      <w:pPr>
        <w:spacing w:after="140" w:line="276"/>
      </w:pPr>
      <w:r>
        <w:rPr>
          <w:rFonts w:ascii="Lato" w:cs="Lato" w:eastAsia="Lato" w:hAnsi="Lato"/>
          <w:b w:val="false"/>
          <w:bCs w:val="false"/>
          <w:i w:val="false"/>
          <w:iCs w:val="false"/>
          <w:color w:val="041E42"/>
          <w:sz w:val="21"/>
          <w:szCs w:val="21"/>
        </w:rPr>
        <w:t xml:space="preserve">When Deng presented his investigation to the group, he spent as much time on how he had gone about it as on what he found. Measuring the flow himself, he said, had kept him from taking the common view that the points ran dry because people overused them, since his own timings showed steady use through the day and a drop only when the pump was off. He was also open about a limit in his method: he had spoken only to families collecting in the afternoon, so he had heard nothing from morning users, and he said that if he ran it again he would talk to people across the whole day.</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Reflective Practitioner</w:t>
            </w:r>
          </w:p>
          <w:p>
            <w:pPr>
              <w:spacing w:after="100" w:line="276"/>
            </w:pPr>
            <w:r>
              <w:rPr>
                <w:rFonts w:ascii="Lato" w:cs="Lato" w:eastAsia="Lato" w:hAnsi="Lato"/>
                <w:color w:val="041E42"/>
                <w:sz w:val="21"/>
                <w:szCs w:val="21"/>
              </w:rPr>
              <w:t xml:space="preserve">Deng achieved the goal in one instance with a clear rationale: he combined first-hand measurement and interviews with existing records and developed an actionable insight about the cause of the shortfall. The reflective dimension is present too: presenting his work, he set out a strength, a limitation and a concrete improvement in his method, and grounded each in what his own data had shown, steady all-day use, the drop tracking the pump, hearing only from afternoon collectors, rather than simply asserting them.</w:t>
            </w:r>
          </w:p>
          <w:p>
            <w:pPr>
              <w:spacing w:after="100" w:line="276"/>
            </w:pPr>
            <w:r>
              <w:rPr>
                <w:rFonts w:ascii="Lato" w:cs="Lato" w:eastAsia="Lato" w:hAnsi="Lato"/>
                <w:color w:val="041E42"/>
                <w:sz w:val="21"/>
                <w:szCs w:val="21"/>
              </w:rPr>
              <w:t xml:space="preserve">He does not reach Expert because the investigation sits in a single instance, and he has not yet implemented his identified improvement in a second one over time.</w:t>
            </w:r>
          </w:p>
          <w:p>
            <w:pPr>
              <w:spacing w:after="0" w:line="276"/>
            </w:pPr>
            <w:r>
              <w:rPr>
                <w:rFonts w:ascii="Lato" w:cs="Lato" w:eastAsia="Lato" w:hAnsi="Lato"/>
                <w:color w:val="041E42"/>
                <w:sz w:val="21"/>
                <w:szCs w:val="21"/>
              </w:rPr>
              <w:t xml:space="preserve">Watch here: the quality of the insight and the reflection can tempt an Expert award. Expert requires two or more instances and improvement actually implemented and shown to work, neither of which is present yet.</w:t>
            </w:r>
          </w:p>
        </w:tc>
      </w:tr>
    </w:tbl>
    <w:p>
      <w:pPr>
        <w:spacing w:after="80"/>
      </w:pPr>
    </w:p>
    <w:p>
      <w:pPr>
        <w:spacing w:after="100" w:before="240"/>
      </w:pPr>
      <w:r>
        <w:rPr>
          <w:rFonts w:ascii="Roboto" w:cs="Roboto" w:eastAsia="Roboto" w:hAnsi="Roboto"/>
          <w:b/>
          <w:bCs/>
          <w:color w:val="004976"/>
          <w:sz w:val="25"/>
          <w:szCs w:val="25"/>
        </w:rPr>
        <w:t xml:space="preserve">Case FSI1-05  ·  Expert Practitioner</w:t>
      </w:r>
    </w:p>
    <w:p>
      <w:pPr>
        <w:spacing w:after="120"/>
      </w:pPr>
      <w:r>
        <w:rPr>
          <w:rFonts w:ascii="Lato" w:cs="Lato" w:eastAsia="Lato" w:hAnsi="Lato"/>
          <w:i/>
          <w:iCs/>
          <w:color w:val="97999B"/>
          <w:sz w:val="21"/>
          <w:szCs w:val="21"/>
        </w:rPr>
        <w:t xml:space="preserve">Anwar  ·  Cox’s Bazar, Bangladesh</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Anwar is a learner in Cox’s Bazar, Bangladesh. His educator has seen him investigate real-world issues in more than one situation across the year, and is assessing the competency across that fuller picture. Two clear instances are falling attendance at a learning centre and, later, rising food prices in the local market.</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questions Anwar set for each investigation and his approach to both, and noted that the second plan carried a deliberate fix for a problem he had hit in the first.</w:t>
      </w:r>
    </w:p>
    <w:p>
      <w:pPr>
        <w:spacing w:after="140" w:line="276"/>
      </w:pPr>
      <w:r>
        <w:rPr>
          <w:rFonts w:ascii="Lato" w:cs="Lato" w:eastAsia="Lato" w:hAnsi="Lato"/>
          <w:b w:val="false"/>
          <w:bCs w:val="false"/>
          <w:i w:val="false"/>
          <w:iCs w:val="false"/>
          <w:color w:val="041E42"/>
          <w:sz w:val="21"/>
          <w:szCs w:val="21"/>
        </w:rPr>
        <w:t xml:space="preserve">For the attendance investigation, the educator saw him draw together the centre’s register records and interviews with families, and reach a finding staff had not expected: attendance fell on market days, when older children worked, rather than from loss of interest, and he suggested timetabling around market days.</w:t>
      </w:r>
    </w:p>
    <w:p>
      <w:pPr>
        <w:spacing w:after="140" w:line="276"/>
      </w:pPr>
      <w:r>
        <w:rPr>
          <w:rFonts w:ascii="Lato" w:cs="Lato" w:eastAsia="Lato" w:hAnsi="Lato"/>
          <w:b w:val="false"/>
          <w:bCs w:val="false"/>
          <w:i w:val="false"/>
          <w:iCs w:val="false"/>
          <w:color w:val="041E42"/>
          <w:sz w:val="21"/>
          <w:szCs w:val="21"/>
        </w:rPr>
        <w:t xml:space="preserve">Later, for the food-price investigation, Anwar tracked prices across several stalls over a month and set them against what two traders told him and a market price bulletin, and found the rises were driven by a disruption to a supply route rather than local hoarding.</w:t>
      </w:r>
    </w:p>
    <w:p>
      <w:pPr>
        <w:spacing w:after="140" w:line="276"/>
      </w:pPr>
      <w:r>
        <w:rPr>
          <w:rFonts w:ascii="Lato" w:cs="Lato" w:eastAsia="Lato" w:hAnsi="Lato"/>
          <w:b w:val="false"/>
          <w:bCs w:val="false"/>
          <w:i w:val="false"/>
          <w:iCs w:val="false"/>
          <w:color w:val="041E42"/>
          <w:sz w:val="21"/>
          <w:szCs w:val="21"/>
        </w:rPr>
        <w:t xml:space="preserve">At a competency showcase where learners presented an investigation, Anwar used both of his to talk about how he had changed his method. In the attendance study, he said, he had relied mostly on what families told him and had nearly missed what the registers showed about market days; so in the price study he set his own daily price records against the traders’ accounts and the market bulletin from the outset, which let him set aside the hoarding explanation quickly once the figures pointed to the supply route. He could say plainly what he had carried from the first investigation into the second.</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Expert Practitioner</w:t>
            </w:r>
          </w:p>
          <w:p>
            <w:pPr>
              <w:spacing w:after="100" w:line="276"/>
            </w:pPr>
            <w:r>
              <w:rPr>
                <w:rFonts w:ascii="Lato" w:cs="Lato" w:eastAsia="Lato" w:hAnsi="Lato"/>
                <w:color w:val="041E42"/>
                <w:sz w:val="21"/>
                <w:szCs w:val="21"/>
              </w:rPr>
              <w:t xml:space="preserve">Anwar achieved the goal in two distinct instances with a clear rationale, drawing on both first-hand and existing sources and developing an actionable insight each time. The reflective dimension is present in both, and he implemented an improvement carried from the first investigation to the second, drawing measured and existing sources together from the start rather than leaning on interviews; presenting both at the showcase, he showed how that change let him set aside a wrong explanation faster.</w:t>
            </w:r>
          </w:p>
          <w:p>
            <w:pPr>
              <w:spacing w:after="0" w:line="276"/>
            </w:pPr>
            <w:r>
              <w:rPr>
                <w:rFonts w:ascii="Lato" w:cs="Lato" w:eastAsia="Lato" w:hAnsi="Lato"/>
                <w:color w:val="041E42"/>
                <w:sz w:val="21"/>
                <w:szCs w:val="21"/>
              </w:rPr>
              <w:t xml:space="preserve">That meets every Expert criterion, including growth over time. This is the full top rung: all dimensions are present and evidenced across more than one instance.</w:t>
            </w:r>
          </w:p>
        </w:tc>
      </w:tr>
    </w:tbl>
    <w:p>
      <w:pPr>
        <w:spacing w:after="80"/>
      </w:pPr>
    </w:p>
    <w:p>
      <w:pPr>
        <w:pBdr>
          <w:bottom w:val="single" w:color="8F993E" w:sz="6" w:space="4"/>
        </w:pBdr>
        <w:spacing w:after="100" w:before="260"/>
      </w:pPr>
      <w:r>
        <w:rPr>
          <w:rFonts w:ascii="Roboto" w:cs="Roboto" w:eastAsia="Roboto" w:hAnsi="Roboto"/>
          <w:b/>
          <w:bCs/>
          <w:color w:val="004976"/>
          <w:sz w:val="30"/>
          <w:szCs w:val="30"/>
        </w:rPr>
        <w:t xml:space="preserve">Fostering connection and belonging</w:t>
      </w:r>
    </w:p>
    <w:p>
      <w:pPr>
        <w:spacing w:after="60"/>
      </w:pPr>
      <w:r>
        <w:rPr>
          <w:rFonts w:ascii="Lato" w:cs="Lato" w:eastAsia="Lato" w:hAnsi="Lato"/>
          <w:color w:val="97999B"/>
          <w:sz w:val="20"/>
          <w:szCs w:val="20"/>
        </w:rPr>
        <w:t xml:space="preserve">FLC2  ·  Foundational  ·  Leading Change</w:t>
      </w:r>
    </w:p>
    <w:p>
      <w:pPr>
        <w:spacing w:after="160"/>
      </w:pPr>
      <w:r>
        <w:rPr>
          <w:rFonts w:ascii="Lato" w:cs="Lato" w:eastAsia="Lato" w:hAnsi="Lato"/>
          <w:b/>
          <w:bCs/>
          <w:color w:val="004976"/>
          <w:sz w:val="21"/>
          <w:szCs w:val="21"/>
        </w:rPr>
        <w:t xml:space="preserve">Goal: </w:t>
      </w:r>
      <w:r>
        <w:rPr>
          <w:rFonts w:ascii="Lato" w:cs="Lato" w:eastAsia="Lato" w:hAnsi="Lato"/>
          <w:color w:val="041E42"/>
          <w:sz w:val="21"/>
          <w:szCs w:val="21"/>
        </w:rPr>
        <w:t xml:space="preserve">The learner can cultivate the conditions that enable people to feel part of a community working towards a shared goal for positive change.</w:t>
      </w:r>
    </w:p>
    <w:p>
      <w:pPr>
        <w:spacing w:after="100" w:before="240"/>
      </w:pPr>
      <w:r>
        <w:rPr>
          <w:rFonts w:ascii="Roboto" w:cs="Roboto" w:eastAsia="Roboto" w:hAnsi="Roboto"/>
          <w:b/>
          <w:bCs/>
          <w:color w:val="004976"/>
          <w:sz w:val="25"/>
          <w:szCs w:val="25"/>
        </w:rPr>
        <w:t xml:space="preserve">Case FLC2-01  ·  No level awarded</w:t>
      </w:r>
    </w:p>
    <w:p>
      <w:pPr>
        <w:spacing w:after="120"/>
      </w:pPr>
      <w:r>
        <w:rPr>
          <w:rFonts w:ascii="Lato" w:cs="Lato" w:eastAsia="Lato" w:hAnsi="Lato"/>
          <w:i/>
          <w:iCs/>
          <w:color w:val="97999B"/>
          <w:sz w:val="21"/>
          <w:szCs w:val="21"/>
        </w:rPr>
        <w:t xml:space="preserve">Karim  ·  Jordan</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Karim is a learner in Jordan. His educator is assessing how he fosters connection and belonging among his peers. The evidence comes from group sessions and conversations in the first weeks of term.</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In group work over the first weeks, the educator watched how Karim was with others. He took part in the tasks but stayed with one friend, and when a new member joined his table he carried on without acknowledging her. He did not seem to register who in the group was taking part and who was on the edge of it.</w:t>
      </w:r>
    </w:p>
    <w:p>
      <w:pPr>
        <w:spacing w:after="140" w:line="276"/>
      </w:pPr>
      <w:r>
        <w:rPr>
          <w:rFonts w:ascii="Lato" w:cs="Lato" w:eastAsia="Lato" w:hAnsi="Lato"/>
          <w:b w:val="false"/>
          <w:bCs w:val="false"/>
          <w:i w:val="false"/>
          <w:iCs w:val="false"/>
          <w:color w:val="041E42"/>
          <w:sz w:val="21"/>
          <w:szCs w:val="21"/>
        </w:rPr>
        <w:t xml:space="preserve">In conversation, the educator asked Karim how he might help someone new feel part of the group, what he could do or say. He said he was not sure, that this was more the facilitator’s job, and could not describe anything he would do to help another person feel included.</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No level awarded</w:t>
            </w:r>
          </w:p>
          <w:p>
            <w:pPr>
              <w:spacing w:after="100" w:line="276"/>
            </w:pPr>
            <w:r>
              <w:rPr>
                <w:rFonts w:ascii="Lato" w:cs="Lato" w:eastAsia="Lato" w:hAnsi="Lato"/>
                <w:color w:val="041E42"/>
                <w:sz w:val="21"/>
                <w:szCs w:val="21"/>
              </w:rPr>
              <w:t xml:space="preserve">The evidence shows no rationale for fostering connection or belonging. Karim can describe no way of helping another person feel part of the group, and in the group itself he does not notice who is included and who is not; there is nothing here that amounts to an approach.</w:t>
            </w:r>
          </w:p>
          <w:p>
            <w:pPr>
              <w:spacing w:after="100" w:line="276"/>
            </w:pPr>
            <w:r>
              <w:rPr>
                <w:rFonts w:ascii="Lato" w:cs="Lato" w:eastAsia="Lato" w:hAnsi="Lato"/>
                <w:color w:val="041E42"/>
                <w:sz w:val="21"/>
                <w:szCs w:val="21"/>
              </w:rPr>
              <w:t xml:space="preserve">Because there is no rationale for how he would foster belonging in even one instance, the evidence does not reach Theorist.</w:t>
            </w:r>
          </w:p>
          <w:p>
            <w:pPr>
              <w:spacing w:after="0" w:line="276"/>
            </w:pPr>
            <w:r>
              <w:rPr>
                <w:rFonts w:ascii="Lato" w:cs="Lato" w:eastAsia="Lato" w:hAnsi="Lato"/>
                <w:color w:val="041E42"/>
                <w:sz w:val="21"/>
                <w:szCs w:val="21"/>
              </w:rPr>
              <w:t xml:space="preserve">Watch here: a quiet or reserved learner is not automatically at No Level Awarded, and shyness is not the same as lacking the competency. The judgement rests on the absence of any rationale for fostering belonging, which is what the evidence shows, not on how outgoing he is.</w:t>
            </w:r>
          </w:p>
        </w:tc>
      </w:tr>
    </w:tbl>
    <w:p>
      <w:pPr>
        <w:spacing w:after="80"/>
      </w:pPr>
    </w:p>
    <w:p>
      <w:pPr>
        <w:spacing w:after="100" w:before="240"/>
      </w:pPr>
      <w:r>
        <w:rPr>
          <w:rFonts w:ascii="Roboto" w:cs="Roboto" w:eastAsia="Roboto" w:hAnsi="Roboto"/>
          <w:b/>
          <w:bCs/>
          <w:color w:val="004976"/>
          <w:sz w:val="25"/>
          <w:szCs w:val="25"/>
        </w:rPr>
        <w:t xml:space="preserve">Case FLC2-02  ·  Theorist</w:t>
      </w:r>
    </w:p>
    <w:p>
      <w:pPr>
        <w:spacing w:after="120"/>
      </w:pPr>
      <w:r>
        <w:rPr>
          <w:rFonts w:ascii="Lato" w:cs="Lato" w:eastAsia="Lato" w:hAnsi="Lato"/>
          <w:i/>
          <w:iCs/>
          <w:color w:val="97999B"/>
          <w:sz w:val="21"/>
          <w:szCs w:val="21"/>
        </w:rPr>
        <w:t xml:space="preserve">Fatima  ·  Nairobi,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Fatima is a learner in Nairobi, Kenya. Her educator has seen that she thinks carefully about how groups work, and is assessing how she fosters connection and belonging. A situation in view is a new intake joining her cohort, some of whom speak a different first language.</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a plan Fatima wrote when the cohort discussed welcoming the new intake. She set out a clear approach: pair each newcomer with an existing member, open each session with a short shared activity, and use both languages in the room so no one was shut out. She explained why, that people take part when they feel known and can follow, so pairing and language were where it mattered most.</w:t>
      </w:r>
    </w:p>
    <w:p>
      <w:pPr>
        <w:spacing w:after="140" w:line="276"/>
      </w:pPr>
      <w:r>
        <w:rPr>
          <w:rFonts w:ascii="Lato" w:cs="Lato" w:eastAsia="Lato" w:hAnsi="Lato"/>
          <w:b w:val="false"/>
          <w:bCs w:val="false"/>
          <w:i w:val="false"/>
          <w:iCs w:val="false"/>
          <w:color w:val="041E42"/>
          <w:sz w:val="21"/>
          <w:szCs w:val="21"/>
        </w:rPr>
        <w:t xml:space="preserve">In conversation, the educator asked Fatima more broadly how she goes about helping people feel they belong. She spoke thoughtfully, describing how she would notice who was on the edge of a group and why she would bring them in through others rather than singling them out.</w:t>
      </w:r>
    </w:p>
    <w:p>
      <w:pPr>
        <w:spacing w:after="140" w:line="276"/>
      </w:pPr>
      <w:r>
        <w:rPr>
          <w:rFonts w:ascii="Lato" w:cs="Lato" w:eastAsia="Lato" w:hAnsi="Lato"/>
          <w:b w:val="false"/>
          <w:bCs w:val="false"/>
          <w:i w:val="false"/>
          <w:iCs w:val="false"/>
          <w:color w:val="041E42"/>
          <w:sz w:val="21"/>
          <w:szCs w:val="21"/>
        </w:rPr>
        <w:t xml:space="preserve">Across the following weeks, though, the educator saw Fatima do none of it. She sat with her usual friends, the newcomers stayed on the margins, and no pairing or shared opening happened. Asked about it, she said she had meant to but it felt awkward to start.</w:t>
      </w:r>
    </w:p>
    <w:p>
      <w:pPr>
        <w:spacing w:after="140" w:line="276"/>
      </w:pPr>
      <w:r>
        <w:rPr>
          <w:rFonts w:ascii="Lato" w:cs="Lato" w:eastAsia="Lato" w:hAnsi="Lato"/>
          <w:b w:val="false"/>
          <w:bCs w:val="false"/>
          <w:i w:val="false"/>
          <w:iCs w:val="false"/>
          <w:color w:val="041E42"/>
          <w:sz w:val="21"/>
          <w:szCs w:val="21"/>
        </w:rPr>
        <w:t xml:space="preserve">A peer noted that Fatima had good ideas about including people but had not actually reached out to any of the new members.</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Theorist</w:t>
            </w:r>
          </w:p>
          <w:p>
            <w:pPr>
              <w:spacing w:after="100" w:line="276"/>
            </w:pPr>
            <w:r>
              <w:rPr>
                <w:rFonts w:ascii="Lato" w:cs="Lato" w:eastAsia="Lato" w:hAnsi="Lato"/>
                <w:color w:val="041E42"/>
                <w:sz w:val="21"/>
                <w:szCs w:val="21"/>
              </w:rPr>
              <w:t xml:space="preserve">Fatima has a clear, reasoned approach to fostering belonging and can explain why she would do what she describes. That is the rationale an educator has to find in the evidence, and it clears No Level Awarded and meets Theorist.</w:t>
            </w:r>
          </w:p>
          <w:p>
            <w:pPr>
              <w:spacing w:after="100" w:line="276"/>
            </w:pPr>
            <w:r>
              <w:rPr>
                <w:rFonts w:ascii="Lato" w:cs="Lato" w:eastAsia="Lato" w:hAnsi="Lato"/>
                <w:color w:val="041E42"/>
                <w:sz w:val="21"/>
                <w:szCs w:val="21"/>
              </w:rPr>
              <w:t xml:space="preserve">She does not reach Practitioner because there is no attempt: across the weeks the educator observed, and by a peer’s account, she has not acted on any of it. The newcomers remain on the margins.</w:t>
            </w:r>
          </w:p>
          <w:p>
            <w:pPr>
              <w:spacing w:after="0" w:line="276"/>
            </w:pPr>
            <w:r>
              <w:rPr>
                <w:rFonts w:ascii="Lato" w:cs="Lato" w:eastAsia="Lato" w:hAnsi="Lato"/>
                <w:color w:val="041E42"/>
                <w:sz w:val="21"/>
                <w:szCs w:val="21"/>
              </w:rPr>
              <w:t xml:space="preserve">Watch here: fluent, thoughtful ideas about inclusion can tempt an over-award to Practitioner. The credit threshold turns on an actual attempt to foster belonging, not on how well the learner talks about it.</w:t>
            </w:r>
          </w:p>
        </w:tc>
      </w:tr>
    </w:tbl>
    <w:p>
      <w:pPr>
        <w:spacing w:after="80"/>
      </w:pPr>
    </w:p>
    <w:p>
      <w:pPr>
        <w:spacing w:after="100" w:before="240"/>
      </w:pPr>
      <w:r>
        <w:rPr>
          <w:rFonts w:ascii="Roboto" w:cs="Roboto" w:eastAsia="Roboto" w:hAnsi="Roboto"/>
          <w:b/>
          <w:bCs/>
          <w:color w:val="004976"/>
          <w:sz w:val="25"/>
          <w:szCs w:val="25"/>
        </w:rPr>
        <w:t xml:space="preserve">Case FLC2-03  ·  Practitioner (credit awarded)</w:t>
      </w:r>
    </w:p>
    <w:p>
      <w:pPr>
        <w:spacing w:after="120"/>
      </w:pPr>
      <w:r>
        <w:rPr>
          <w:rFonts w:ascii="Lato" w:cs="Lato" w:eastAsia="Lato" w:hAnsi="Lato"/>
          <w:i/>
          <w:iCs/>
          <w:color w:val="97999B"/>
          <w:sz w:val="21"/>
          <w:szCs w:val="21"/>
        </w:rPr>
        <w:t xml:space="preserve">Joseph  ·  online</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Joseph is an online learner. His educator is assessing how he fosters connection and belonging, drawing on how he has been in the online sessions, where a few learners rarely speak.</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Asked how he might help the quieter members feel more part of the online group, Joseph set out what he would do: greet people by name as they joined, and use the chat to bring the quiet ones in with easy questions. He reasoned that on a call it is easy to disappear, so naming people and low-stakes questions would help them speak.</w:t>
      </w:r>
    </w:p>
    <w:p>
      <w:pPr>
        <w:spacing w:after="140" w:line="276"/>
      </w:pPr>
      <w:r>
        <w:rPr>
          <w:rFonts w:ascii="Lato" w:cs="Lato" w:eastAsia="Lato" w:hAnsi="Lato"/>
          <w:b w:val="false"/>
          <w:bCs w:val="false"/>
          <w:i w:val="false"/>
          <w:iCs w:val="false"/>
          <w:color w:val="041E42"/>
          <w:sz w:val="21"/>
          <w:szCs w:val="21"/>
        </w:rPr>
        <w:t xml:space="preserve">The educator saw Joseph do this across several sessions. He welcomed people by name and put gentle questions to the quieter members through the chat, and he could explain why he had chosen that way in.</w:t>
      </w:r>
    </w:p>
    <w:p>
      <w:pPr>
        <w:spacing w:after="140" w:line="276"/>
      </w:pPr>
      <w:r>
        <w:rPr>
          <w:rFonts w:ascii="Lato" w:cs="Lato" w:eastAsia="Lato" w:hAnsi="Lato"/>
          <w:b w:val="false"/>
          <w:bCs w:val="false"/>
          <w:i w:val="false"/>
          <w:iCs w:val="false"/>
          <w:color w:val="041E42"/>
          <w:sz w:val="21"/>
          <w:szCs w:val="21"/>
        </w:rPr>
        <w:t xml:space="preserve">In a session debrief the educator turned to how Joseph goes about building belonging and what he would change in his approach. He described what he had done but could not step back from it: asked what had worked or fallen flat, he said he was not sure, he had just tried to be friendly. And though he had made the effort steadily, the quieter members had not come in any more than before, and there was no sign the group had begun to feel more connected as a result.</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Practitioner</w:t>
            </w:r>
          </w:p>
          <w:p>
            <w:pPr>
              <w:spacing w:after="100" w:line="276"/>
            </w:pPr>
            <w:r>
              <w:rPr>
                <w:rFonts w:ascii="Lato" w:cs="Lato" w:eastAsia="Lato" w:hAnsi="Lato"/>
                <w:color w:val="041E42"/>
                <w:sz w:val="21"/>
                <w:szCs w:val="21"/>
              </w:rPr>
              <w:t xml:space="preserve">Joseph attempted to foster belonging, taking deliberate and repeated action with a clear rationale. That meets Practitioner and awards credit.</w:t>
            </w:r>
          </w:p>
          <w:p>
            <w:pPr>
              <w:spacing w:after="100" w:line="276"/>
            </w:pPr>
            <w:r>
              <w:rPr>
                <w:rFonts w:ascii="Lato" w:cs="Lato" w:eastAsia="Lato" w:hAnsi="Lato"/>
                <w:color w:val="041E42"/>
                <w:sz w:val="21"/>
                <w:szCs w:val="21"/>
              </w:rPr>
              <w:t xml:space="preserve">He does not reach Reflective on two counts. There is no sign the conditions actually changed: the quieter members did not come in more, so belonging has not been shown to result. And asked to reflect on how he fosters belonging, he identified no strength, weakness or improvement in his approach, so the reflective dimension is absent.</w:t>
            </w:r>
          </w:p>
          <w:p>
            <w:pPr>
              <w:spacing w:after="0" w:line="276"/>
            </w:pPr>
            <w:r>
              <w:rPr>
                <w:rFonts w:ascii="Lato" w:cs="Lato" w:eastAsia="Lato" w:hAnsi="Lato"/>
                <w:color w:val="041E42"/>
                <w:sz w:val="21"/>
                <w:szCs w:val="21"/>
              </w:rPr>
              <w:t xml:space="preserve">Watch here: a genuine, sustained effort to be welcoming can read as achievement and tempt an award of Reflective. For this competency the goal is that people come to feel part of the group, which is not yet evidenced, and there is no reflection on approach.</w:t>
            </w:r>
          </w:p>
        </w:tc>
      </w:tr>
    </w:tbl>
    <w:p>
      <w:pPr>
        <w:spacing w:after="80"/>
      </w:pPr>
    </w:p>
    <w:p>
      <w:pPr>
        <w:spacing w:after="100" w:before="240"/>
      </w:pPr>
      <w:r>
        <w:rPr>
          <w:rFonts w:ascii="Roboto" w:cs="Roboto" w:eastAsia="Roboto" w:hAnsi="Roboto"/>
          <w:b/>
          <w:bCs/>
          <w:color w:val="004976"/>
          <w:sz w:val="25"/>
          <w:szCs w:val="25"/>
        </w:rPr>
        <w:t xml:space="preserve">Case FLC2-04  ·  Reflective Practitioner</w:t>
      </w:r>
    </w:p>
    <w:p>
      <w:pPr>
        <w:spacing w:after="120"/>
      </w:pPr>
      <w:r>
        <w:rPr>
          <w:rFonts w:ascii="Lato" w:cs="Lato" w:eastAsia="Lato" w:hAnsi="Lato"/>
          <w:i/>
          <w:iCs/>
          <w:color w:val="97999B"/>
          <w:sz w:val="21"/>
          <w:szCs w:val="21"/>
        </w:rPr>
        <w:t xml:space="preserve">Leila  ·  Kampala, Uganda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Leila is a learner in Kampala, Uganda. Her educator is assessing how she fosters connection and belonging. The clearest evidence is one situation this term: a new learner, Sana, joined the group part-way through and was struggling to find a place in it.</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Leila set out what she would do to help Sana settle: sit with her, bring her into the friendship group, and give her a real part in the group task so she had a reason to contribute. She reasoned that belonging comes from being needed and known, not from being welcomed once.</w:t>
      </w:r>
    </w:p>
    <w:p>
      <w:pPr>
        <w:spacing w:after="140" w:line="276"/>
      </w:pPr>
      <w:r>
        <w:rPr>
          <w:rFonts w:ascii="Lato" w:cs="Lato" w:eastAsia="Lato" w:hAnsi="Lato"/>
          <w:b w:val="false"/>
          <w:bCs w:val="false"/>
          <w:i w:val="false"/>
          <w:iCs w:val="false"/>
          <w:color w:val="041E42"/>
          <w:sz w:val="21"/>
          <w:szCs w:val="21"/>
        </w:rPr>
        <w:t xml:space="preserve">The educator watched it play out over several weeks. Leila drew Sana in and handed her a genuine part in the group’s project, and by mid-term Sana was speaking up in sessions and had been taken into the group; other learners had followed Leila’s lead and begun turning to Sana on the task.</w:t>
      </w:r>
    </w:p>
    <w:p>
      <w:pPr>
        <w:spacing w:after="140" w:line="276"/>
      </w:pPr>
      <w:r>
        <w:rPr>
          <w:rFonts w:ascii="Lato" w:cs="Lato" w:eastAsia="Lato" w:hAnsi="Lato"/>
          <w:b w:val="false"/>
          <w:bCs w:val="false"/>
          <w:i w:val="false"/>
          <w:iCs w:val="false"/>
          <w:color w:val="041E42"/>
          <w:sz w:val="21"/>
          <w:szCs w:val="21"/>
        </w:rPr>
        <w:t xml:space="preserve">At a session where learners shared something they had worked on, Leila talked about how she had gone about it. Giving Sana a role, she said, had done more than being kind to her, because it gave the others a reason to depend on her, and she pointed to how the group had started bringing Sana into decisions. She was also honest that she had put so much into Sana that she had let another quiet learner slip that month, and said she would try to keep the whole group in view next time, not only the newcomer.</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Reflective Practitioner</w:t>
            </w:r>
          </w:p>
          <w:p>
            <w:pPr>
              <w:spacing w:after="100" w:line="276"/>
            </w:pPr>
            <w:r>
              <w:rPr>
                <w:rFonts w:ascii="Lato" w:cs="Lato" w:eastAsia="Lato" w:hAnsi="Lato"/>
                <w:color w:val="041E42"/>
                <w:sz w:val="21"/>
                <w:szCs w:val="21"/>
              </w:rPr>
              <w:t xml:space="preserve">Leila achieved the goal in one instance with a clear rationale: she cultivated conditions in which Sana came to feel part of the group, and the change showed, in Sana speaking up and in others including her. The reflective dimension is present too: talking about how she fosters belonging, she set out what had worked and why, and a real limitation in her approach, and grounded each in what happened rather than asserting it.</w:t>
            </w:r>
          </w:p>
          <w:p>
            <w:pPr>
              <w:spacing w:after="100" w:line="276"/>
            </w:pPr>
            <w:r>
              <w:rPr>
                <w:rFonts w:ascii="Lato" w:cs="Lato" w:eastAsia="Lato" w:hAnsi="Lato"/>
                <w:color w:val="041E42"/>
                <w:sz w:val="21"/>
                <w:szCs w:val="21"/>
              </w:rPr>
              <w:t xml:space="preserve">She does not reach Expert because the achievement sits in a single instance, and she has not yet implemented her identified improvement, keeping the whole group in view, in a second one over time.</w:t>
            </w:r>
          </w:p>
          <w:p>
            <w:pPr>
              <w:spacing w:after="0" w:line="276"/>
            </w:pPr>
            <w:r>
              <w:rPr>
                <w:rFonts w:ascii="Lato" w:cs="Lato" w:eastAsia="Lato" w:hAnsi="Lato"/>
                <w:color w:val="041E42"/>
                <w:sz w:val="21"/>
                <w:szCs w:val="21"/>
              </w:rPr>
              <w:t xml:space="preserve">Watch here: a strong single instance with good reflection can tempt an Expert award. Expert requires two or more instances and improvement actually implemented and shown to work, neither of which is present yet.</w:t>
            </w:r>
          </w:p>
        </w:tc>
      </w:tr>
    </w:tbl>
    <w:p>
      <w:pPr>
        <w:spacing w:after="80"/>
      </w:pPr>
    </w:p>
    <w:p>
      <w:pPr>
        <w:spacing w:after="100" w:before="240"/>
      </w:pPr>
      <w:r>
        <w:rPr>
          <w:rFonts w:ascii="Roboto" w:cs="Roboto" w:eastAsia="Roboto" w:hAnsi="Roboto"/>
          <w:b/>
          <w:bCs/>
          <w:color w:val="004976"/>
          <w:sz w:val="25"/>
          <w:szCs w:val="25"/>
        </w:rPr>
        <w:t xml:space="preserve">Case FLC2-05  ·  Expert Practitioner</w:t>
      </w:r>
    </w:p>
    <w:p>
      <w:pPr>
        <w:spacing w:after="120"/>
      </w:pPr>
      <w:r>
        <w:rPr>
          <w:rFonts w:ascii="Lato" w:cs="Lato" w:eastAsia="Lato" w:hAnsi="Lato"/>
          <w:i/>
          <w:iCs/>
          <w:color w:val="97999B"/>
          <w:sz w:val="21"/>
          <w:szCs w:val="21"/>
        </w:rPr>
        <w:t xml:space="preserve">Miriam  ·  Kakuma,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Miriam is a learner in Kakuma, Kenya. Her educator has seen her foster connection and belonging in more than one situation across the year, and is assessing the competency across that fuller picture. Two clear instances are welcoming a wave of new arrivals into the learning group and, later, bridging a split between two language groups in a project team.</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how Miriam approached each situation, and noted that in the second she deliberately changed something that had not worked in the first.</w:t>
      </w:r>
    </w:p>
    <w:p>
      <w:pPr>
        <w:spacing w:after="140" w:line="276"/>
      </w:pPr>
      <w:r>
        <w:rPr>
          <w:rFonts w:ascii="Lato" w:cs="Lato" w:eastAsia="Lato" w:hAnsi="Lato"/>
          <w:b w:val="false"/>
          <w:bCs w:val="false"/>
          <w:i w:val="false"/>
          <w:iCs w:val="false"/>
          <w:color w:val="041E42"/>
          <w:sz w:val="21"/>
          <w:szCs w:val="21"/>
        </w:rPr>
        <w:t xml:space="preserve">For the new arrivals, the educator saw her set up a buddy arrangement and a shared opening to each session; over some weeks the newcomers went from silent to taking part, and the group held together rather than splitting into old and new.</w:t>
      </w:r>
    </w:p>
    <w:p>
      <w:pPr>
        <w:spacing w:after="140" w:line="276"/>
      </w:pPr>
      <w:r>
        <w:rPr>
          <w:rFonts w:ascii="Lato" w:cs="Lato" w:eastAsia="Lato" w:hAnsi="Lato"/>
          <w:b w:val="false"/>
          <w:bCs w:val="false"/>
          <w:i w:val="false"/>
          <w:iCs w:val="false"/>
          <w:color w:val="041E42"/>
          <w:sz w:val="21"/>
          <w:szCs w:val="21"/>
        </w:rPr>
        <w:t xml:space="preserve">Later, when a project team divided along language lines, the educator saw Miriam mix the pairs deliberately and have each pair present their part jointly, and the divide eased as members came to rely on one another across the language line.</w:t>
      </w:r>
    </w:p>
    <w:p>
      <w:pPr>
        <w:spacing w:after="140" w:line="276"/>
      </w:pPr>
      <w:r>
        <w:rPr>
          <w:rFonts w:ascii="Lato" w:cs="Lato" w:eastAsia="Lato" w:hAnsi="Lato"/>
          <w:b w:val="false"/>
          <w:bCs w:val="false"/>
          <w:i w:val="false"/>
          <w:iCs w:val="false"/>
          <w:color w:val="041E42"/>
          <w:sz w:val="21"/>
          <w:szCs w:val="21"/>
        </w:rPr>
        <w:t xml:space="preserve">At a competency showcase, Miriam presented both and was clear about how her approach had grown. With the new arrivals, she said, she had welcomed them warmly but left them sitting together, so they had stayed a separate cluster for a while; learning from that, with the project team she mixed people from the start so that belonging had to cross the two groups, and she pointed to how the joint presentations had changed who spoke to whom. She could say plainly what she had carried from the first situation into the second.</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Expert Practitioner</w:t>
            </w:r>
          </w:p>
          <w:p>
            <w:pPr>
              <w:spacing w:after="100" w:line="276"/>
            </w:pPr>
            <w:r>
              <w:rPr>
                <w:rFonts w:ascii="Lato" w:cs="Lato" w:eastAsia="Lato" w:hAnsi="Lato"/>
                <w:color w:val="041E42"/>
                <w:sz w:val="21"/>
                <w:szCs w:val="21"/>
              </w:rPr>
              <w:t xml:space="preserve">Miriam achieved the goal in two distinct instances with a clear rationale, cultivating conditions in which people came to feel part of the group, and in each the change showed. The reflective dimension is present in both, and she implemented an improvement carried from the first to the second, mixing people from the start rather than letting a group settle apart, with what she showed at the showcase demonstrating the change worked.</w:t>
            </w:r>
          </w:p>
          <w:p>
            <w:pPr>
              <w:spacing w:after="0" w:line="276"/>
            </w:pPr>
            <w:r>
              <w:rPr>
                <w:rFonts w:ascii="Lato" w:cs="Lato" w:eastAsia="Lato" w:hAnsi="Lato"/>
                <w:color w:val="041E42"/>
                <w:sz w:val="21"/>
                <w:szCs w:val="21"/>
              </w:rPr>
              <w:t xml:space="preserve">That meets every Expert criterion, including growth over time. This is the full top rung: all dimensions are present and evidenced across more than one instance.</w:t>
            </w:r>
          </w:p>
        </w:tc>
      </w:tr>
    </w:tbl>
    <w:p>
      <w:pPr>
        <w:spacing w:after="80"/>
      </w:pP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97999B"/>
        <w:sz w:val="16"/>
        <w:szCs w:val="16"/>
      </w:rPr>
      <w:t xml:space="preserve">Amala Education for Change     ·     Case bank: trainer edition     ·     Page </w:t>
    </w:r>
    <w:r>
      <w:rPr>
        <w:rFonts w:ascii="Lato" w:cs="Lato" w:eastAsia="Lato" w:hAnsi="Lato"/>
        <w:color w:val="9799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041E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Assessments of Competence — Case bank (Trainer edition)</dc:title>
  <dc:creator>Amala Education for Change</dc:creator>
  <cp:lastModifiedBy>Un-named</cp:lastModifiedBy>
  <cp:revision>1</cp:revision>
  <dcterms:created xsi:type="dcterms:W3CDTF">2026-07-31T07:38:03.129Z</dcterms:created>
  <dcterms:modified xsi:type="dcterms:W3CDTF">2026-07-31T07:38:03.144Z</dcterms:modified>
</cp:coreProperties>
</file>

<file path=docProps/custom.xml><?xml version="1.0" encoding="utf-8"?>
<Properties xmlns="http://schemas.openxmlformats.org/officeDocument/2006/custom-properties" xmlns:vt="http://schemas.openxmlformats.org/officeDocument/2006/docPropsVTypes"/>
</file>