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Roboto" w:cs="Roboto" w:eastAsia="Roboto" w:hAnsi="Roboto"/>
          <w:b/>
          <w:bCs/>
          <w:color w:val="004976"/>
          <w:sz w:val="40"/>
          <w:szCs w:val="40"/>
        </w:rPr>
        <w:t xml:space="preserve">Conducting Assessments of Competence</w:t>
      </w:r>
    </w:p>
    <w:p>
      <w:pPr>
        <w:spacing w:after="40"/>
      </w:pPr>
      <w:r>
        <w:rPr>
          <w:rFonts w:ascii="Roboto" w:cs="Roboto" w:eastAsia="Roboto" w:hAnsi="Roboto"/>
          <w:b/>
          <w:bCs/>
          <w:color w:val="8F993E"/>
          <w:sz w:val="26"/>
          <w:szCs w:val="26"/>
        </w:rPr>
        <w:t xml:space="preserve">Participant Guide</w:t>
      </w:r>
    </w:p>
    <w:p>
      <w:pPr>
        <w:spacing w:after="200"/>
      </w:pPr>
      <w:r>
        <w:rPr>
          <w:rFonts w:ascii="Lato" w:cs="Lato" w:eastAsia="Lato" w:hAnsi="Lato"/>
          <w:i/>
          <w:iCs/>
          <w:color w:val="97999B"/>
          <w:sz w:val="21"/>
          <w:szCs w:val="21"/>
        </w:rPr>
        <w:t xml:space="preserve">Your guide to assessing competence at Amala</w:t>
      </w:r>
    </w:p>
    <w:p>
      <w:pPr>
        <w:spacing w:after="160"/>
      </w:pPr>
      <w:r>
        <w:rPr>
          <w:rFonts w:ascii="Lato" w:cs="Lato" w:eastAsia="Lato" w:hAnsi="Lato"/>
          <w:color w:val="041E42"/>
          <w:sz w:val="21"/>
          <w:szCs w:val="21"/>
        </w:rPr>
        <w:t xml:space="preserve">Name: ____________________________     Organisation: ____________________________</w:t>
      </w:r>
    </w:p>
    <w:p>
      <w:pPr>
        <w:spacing w:after="80"/>
      </w:pPr>
    </w:p>
    <w:tbl>
      <w:tblPr>
        <w:tblW w:type="dxa" w:w="9506"/>
        <w:tblBorders>
          <w:top w:val="none"/>
          <w:left w:val="none"/>
          <w:bottom w:val="none"/>
          <w:right w:val="none"/>
          <w:insideH w:val="none"/>
          <w:insideV w:val="none"/>
        </w:tblBorders>
      </w:tblPr>
      <w:tblGrid>
        <w:gridCol w:w="2376"/>
        <w:gridCol w:w="2376"/>
        <w:gridCol w:w="2376"/>
        <w:gridCol w:w="2378"/>
      </w:tblGrid>
      <w:tr>
        <w:tc>
          <w:tcPr>
            <w:tcW w:type="dxa" w:w="2376"/>
            <w:shd w:fill="004976" w:val="clear"/>
            <w:tcMar>
              <w:top w:type="dxa" w:w="140"/>
              <w:left w:type="dxa" w:w="150"/>
              <w:bottom w:type="dxa" w:w="140"/>
              <w:right w:type="dxa" w:w="150"/>
            </w:tcMar>
          </w:tcPr>
          <w:p>
            <w:pPr>
              <w:spacing w:after="60"/>
            </w:pPr>
            <w:r>
              <w:rPr>
                <w:rFonts w:ascii="Roboto" w:cs="Roboto" w:eastAsia="Roboto" w:hAnsi="Roboto"/>
                <w:b/>
                <w:bCs/>
                <w:caps/>
                <w:color w:val="FFFFFF"/>
                <w:sz w:val="15"/>
                <w:szCs w:val="15"/>
              </w:rPr>
              <w:t xml:space="preserve">Total time</w:t>
            </w:r>
          </w:p>
          <w:p>
            <w:r>
              <w:rPr>
                <w:rFonts w:ascii="Lato" w:cs="Lato" w:eastAsia="Lato" w:hAnsi="Lato"/>
                <w:color w:val="FFFFFF"/>
                <w:sz w:val="20"/>
                <w:szCs w:val="20"/>
              </w:rPr>
              <w:t xml:space="preserve">About 7 to 8 hours</w:t>
            </w:r>
          </w:p>
        </w:tc>
        <w:tc>
          <w:tcPr>
            <w:tcW w:type="dxa" w:w="2376"/>
            <w:shd w:fill="004976" w:val="clear"/>
            <w:tcMar>
              <w:top w:type="dxa" w:w="140"/>
              <w:left w:type="dxa" w:w="150"/>
              <w:bottom w:type="dxa" w:w="140"/>
              <w:right w:type="dxa" w:w="150"/>
            </w:tcMar>
          </w:tcPr>
          <w:p>
            <w:pPr>
              <w:spacing w:after="60"/>
            </w:pPr>
            <w:r>
              <w:rPr>
                <w:rFonts w:ascii="Roboto" w:cs="Roboto" w:eastAsia="Roboto" w:hAnsi="Roboto"/>
                <w:b/>
                <w:bCs/>
                <w:caps/>
                <w:color w:val="FFFFFF"/>
                <w:sz w:val="15"/>
                <w:szCs w:val="15"/>
              </w:rPr>
              <w:t xml:space="preserve">Synchronous</w:t>
            </w:r>
          </w:p>
          <w:p>
            <w:r>
              <w:rPr>
                <w:rFonts w:ascii="Lato" w:cs="Lato" w:eastAsia="Lato" w:hAnsi="Lato"/>
                <w:color w:val="FFFFFF"/>
                <w:sz w:val="20"/>
                <w:szCs w:val="20"/>
              </w:rPr>
              <w:t xml:space="preserve">Two sessions of 2 hours</w:t>
            </w:r>
          </w:p>
        </w:tc>
        <w:tc>
          <w:tcPr>
            <w:tcW w:type="dxa" w:w="2376"/>
            <w:shd w:fill="004976" w:val="clear"/>
            <w:tcMar>
              <w:top w:type="dxa" w:w="140"/>
              <w:left w:type="dxa" w:w="150"/>
              <w:bottom w:type="dxa" w:w="140"/>
              <w:right w:type="dxa" w:w="150"/>
            </w:tcMar>
          </w:tcPr>
          <w:p>
            <w:pPr>
              <w:spacing w:after="60"/>
            </w:pPr>
            <w:r>
              <w:rPr>
                <w:rFonts w:ascii="Roboto" w:cs="Roboto" w:eastAsia="Roboto" w:hAnsi="Roboto"/>
                <w:b/>
                <w:bCs/>
                <w:caps/>
                <w:color w:val="FFFFFF"/>
                <w:sz w:val="15"/>
                <w:szCs w:val="15"/>
              </w:rPr>
              <w:t xml:space="preserve">Independent work</w:t>
            </w:r>
          </w:p>
          <w:p>
            <w:r>
              <w:rPr>
                <w:rFonts w:ascii="Lato" w:cs="Lato" w:eastAsia="Lato" w:hAnsi="Lato"/>
                <w:color w:val="FFFFFF"/>
                <w:sz w:val="20"/>
                <w:szCs w:val="20"/>
              </w:rPr>
              <w:t xml:space="preserve">Two phases, 3 to 4 hours</w:t>
            </w:r>
          </w:p>
        </w:tc>
        <w:tc>
          <w:tcPr>
            <w:tcW w:type="dxa" w:w="2378"/>
            <w:shd w:fill="004976" w:val="clear"/>
            <w:tcMar>
              <w:top w:type="dxa" w:w="140"/>
              <w:left w:type="dxa" w:w="150"/>
              <w:bottom w:type="dxa" w:w="140"/>
              <w:right w:type="dxa" w:w="150"/>
            </w:tcMar>
          </w:tcPr>
          <w:p>
            <w:pPr>
              <w:spacing w:after="60"/>
            </w:pPr>
            <w:r>
              <w:rPr>
                <w:rFonts w:ascii="Roboto" w:cs="Roboto" w:eastAsia="Roboto" w:hAnsi="Roboto"/>
                <w:b/>
                <w:bCs/>
                <w:caps/>
                <w:color w:val="FFFFFF"/>
                <w:sz w:val="15"/>
                <w:szCs w:val="15"/>
              </w:rPr>
              <w:t xml:space="preserve">What you produce</w:t>
            </w:r>
          </w:p>
          <w:p>
            <w:r>
              <w:rPr>
                <w:rFonts w:ascii="Lato" w:cs="Lato" w:eastAsia="Lato" w:hAnsi="Lato"/>
                <w:color w:val="FFFFFF"/>
                <w:sz w:val="20"/>
                <w:szCs w:val="20"/>
              </w:rPr>
              <w:t xml:space="preserve">Level judgements with reasoning, and a moderation-prep note</w:t>
            </w:r>
          </w:p>
        </w:tc>
      </w:tr>
    </w:tbl>
    <w:p>
      <w:pPr>
        <w:spacing w:after="160"/>
      </w:pPr>
    </w:p>
    <w:tbl>
      <w:tblPr>
        <w:tblW w:type="dxa" w:w="9506"/>
        <w:tblBorders>
          <w:top w:val="none"/>
          <w:left w:val="none"/>
          <w:bottom w:val="none"/>
          <w:right w:val="none"/>
          <w:insideH w:val="none"/>
          <w:insideV w:val="none"/>
        </w:tblBorders>
      </w:tblPr>
      <w:tblGrid>
        <w:gridCol w:w="9506"/>
      </w:tblGrid>
      <w:tr>
        <w:tc>
          <w:tcPr>
            <w:tcW w:type="dxa" w:w="9506"/>
            <w:shd w:fill="E4ECF2" w:val="clear"/>
            <w:tcMar>
              <w:top w:type="dxa" w:w="160"/>
              <w:left w:type="dxa" w:w="220"/>
              <w:bottom w:type="dxa" w:w="160"/>
              <w:right w:type="dxa" w:w="220"/>
            </w:tcMar>
          </w:tcPr>
          <w:p>
            <w:pPr>
              <w:spacing w:after="120"/>
            </w:pPr>
            <w:r>
              <w:rPr>
                <w:rFonts w:ascii="Roboto" w:cs="Roboto" w:eastAsia="Roboto" w:hAnsi="Roboto"/>
                <w:b/>
                <w:bCs/>
                <w:color w:val="004976"/>
                <w:sz w:val="22"/>
                <w:szCs w:val="22"/>
              </w:rPr>
              <w:t xml:space="preserve">How this module works</w:t>
            </w:r>
          </w:p>
          <w:p>
            <w:pPr>
              <w:spacing w:after="100" w:line="276"/>
            </w:pPr>
            <w:r>
              <w:rPr>
                <w:rFonts w:ascii="Lato" w:cs="Lato" w:eastAsia="Lato" w:hAnsi="Lato"/>
                <w:color w:val="041E42"/>
                <w:sz w:val="21"/>
                <w:szCs w:val="21"/>
              </w:rPr>
              <w:t xml:space="preserve">This module builds your ability to judge a learner’s competence against Amala’s proficiency scale from the evidence you have, and to stand behind that judgement in moderation.</w:t>
            </w:r>
          </w:p>
          <w:p>
            <w:pPr>
              <w:spacing w:after="0" w:line="276"/>
            </w:pPr>
            <w:r>
              <w:rPr>
                <w:rFonts w:ascii="Lato" w:cs="Lato" w:eastAsia="Lato" w:hAnsi="Lato"/>
                <w:color w:val="041E42"/>
                <w:sz w:val="21"/>
                <w:szCs w:val="21"/>
              </w:rPr>
              <w:t xml:space="preserve">It is programme-agnostic: it is about how to assess competence, whatever course you teach, not the administration that comes with any one programme. You will learn the scale and what counts as evidence, practise on realistic cases with feedback, and then judge a set of cases independently as your assessment.</w:t>
            </w:r>
          </w:p>
        </w:tc>
      </w:tr>
    </w:tbl>
    <w:p>
      <w:pPr>
        <w:spacing w:after="14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60"/>
              <w:left w:type="dxa" w:w="220"/>
              <w:bottom w:type="dxa" w:w="160"/>
              <w:right w:type="dxa" w:w="220"/>
            </w:tcMar>
          </w:tcPr>
          <w:p>
            <w:pPr>
              <w:spacing w:after="120"/>
            </w:pPr>
            <w:r>
              <w:rPr>
                <w:rFonts w:ascii="Roboto" w:cs="Roboto" w:eastAsia="Roboto" w:hAnsi="Roboto"/>
                <w:b/>
                <w:bCs/>
                <w:color w:val="004976"/>
                <w:sz w:val="22"/>
                <w:szCs w:val="22"/>
              </w:rPr>
              <w:t xml:space="preserve">What you will work with</w:t>
            </w:r>
          </w:p>
          <w:p>
            <w:pPr>
              <w:spacing w:after="120" w:line="276"/>
            </w:pPr>
            <w:r>
              <w:rPr>
                <w:rFonts w:ascii="Lato" w:cs="Lato" w:eastAsia="Lato" w:hAnsi="Lato"/>
                <w:b/>
                <w:bCs/>
                <w:color w:val="004976"/>
                <w:sz w:val="21"/>
                <w:szCs w:val="21"/>
              </w:rPr>
              <w:t xml:space="preserve">The Workbook.  </w:t>
            </w:r>
            <w:r>
              <w:rPr>
                <w:rFonts w:ascii="Lato" w:cs="Lato" w:eastAsia="Lato" w:hAnsi="Lato"/>
                <w:color w:val="041E42"/>
                <w:sz w:val="21"/>
                <w:szCs w:val="21"/>
              </w:rPr>
              <w:t xml:space="preserve">The competency framework, the proficiency scale, and how competency assessment works at Amala. This is your main reading and your reference throughout.</w:t>
            </w:r>
          </w:p>
          <w:p>
            <w:pPr>
              <w:spacing w:after="120" w:line="276"/>
            </w:pPr>
            <w:r>
              <w:rPr>
                <w:rFonts w:ascii="Lato" w:cs="Lato" w:eastAsia="Lato" w:hAnsi="Lato"/>
                <w:b/>
                <w:bCs/>
                <w:color w:val="004976"/>
                <w:sz w:val="21"/>
                <w:szCs w:val="21"/>
              </w:rPr>
              <w:t xml:space="preserve">The case bank, educator edition.  </w:t>
            </w:r>
            <w:r>
              <w:rPr>
                <w:rFonts w:ascii="Lato" w:cs="Lato" w:eastAsia="Lato" w:hAnsi="Lato"/>
                <w:color w:val="041E42"/>
                <w:sz w:val="21"/>
                <w:szCs w:val="21"/>
              </w:rPr>
              <w:t xml:space="preserve">The learner cases you will judge. A companion edition carries the moderated decisions, for checking your judgements after you have made them.</w:t>
            </w:r>
          </w:p>
        </w:tc>
      </w:tr>
    </w:tbl>
    <w:p>
      <w:pPr>
        <w:spacing w:after="140"/>
      </w:pPr>
    </w:p>
    <w:p>
      <w:pPr>
        <w:pBdr>
          <w:bottom w:val="single" w:color="8F993E" w:sz="6" w:space="4"/>
        </w:pBdr>
        <w:spacing w:after="100" w:before="260"/>
      </w:pPr>
      <w:r>
        <w:rPr>
          <w:rFonts w:ascii="Roboto" w:cs="Roboto" w:eastAsia="Roboto" w:hAnsi="Roboto"/>
          <w:b/>
          <w:bCs/>
          <w:color w:val="004976"/>
          <w:sz w:val="30"/>
          <w:szCs w:val="30"/>
        </w:rPr>
        <w:t xml:space="preserve">The module at a glance</w:t>
      </w:r>
    </w:p>
    <w:tbl>
      <w:tblPr>
        <w:tblW w:type="dxa" w:w="9506"/>
        <w:tblBorders>
          <w:top w:val="single" w:color="97999B" w:sz="4"/>
          <w:left w:val="single" w:color="97999B" w:sz="4"/>
          <w:bottom w:val="single" w:color="97999B" w:sz="4"/>
          <w:right w:val="single" w:color="97999B" w:sz="4"/>
          <w:insideH w:val="single" w:color="97999B" w:sz="4"/>
          <w:insideV w:val="single" w:color="97999B" w:sz="4"/>
        </w:tblBorders>
      </w:tblPr>
      <w:tblGrid>
        <w:gridCol w:w="2500"/>
        <w:gridCol w:w="1300"/>
        <w:gridCol w:w="5706"/>
      </w:tblGrid>
      <w:tr>
        <w:tc>
          <w:tcPr>
            <w:tcW w:type="dxa" w:w="2500"/>
            <w:shd w:fill="004976" w:val="clear"/>
            <w:tcMar>
              <w:top w:type="dxa" w:w="90"/>
              <w:left w:type="dxa" w:w="130"/>
              <w:bottom w:type="dxa" w:w="90"/>
              <w:right w:type="dxa" w:w="130"/>
            </w:tcMar>
          </w:tcPr>
          <w:p>
            <w:r>
              <w:rPr>
                <w:rFonts w:ascii="Roboto" w:cs="Roboto" w:eastAsia="Roboto" w:hAnsi="Roboto"/>
                <w:b/>
                <w:bCs/>
                <w:color w:val="FFFFFF"/>
                <w:sz w:val="19"/>
                <w:szCs w:val="19"/>
              </w:rPr>
              <w:t xml:space="preserve">Phase</w:t>
            </w:r>
          </w:p>
        </w:tc>
        <w:tc>
          <w:tcPr>
            <w:tcW w:type="dxa" w:w="1300"/>
            <w:shd w:fill="004976" w:val="clear"/>
            <w:tcMar>
              <w:top w:type="dxa" w:w="90"/>
              <w:left w:type="dxa" w:w="130"/>
              <w:bottom w:type="dxa" w:w="90"/>
              <w:right w:type="dxa" w:w="130"/>
            </w:tcMar>
          </w:tcPr>
          <w:p>
            <w:r>
              <w:rPr>
                <w:rFonts w:ascii="Lato" w:cs="Lato" w:eastAsia="Lato" w:hAnsi="Lato"/>
                <w:b/>
                <w:bCs/>
                <w:color w:val="FFFFFF"/>
                <w:sz w:val="19"/>
                <w:szCs w:val="19"/>
              </w:rPr>
              <w:t xml:space="preserve">Time</w:t>
            </w:r>
          </w:p>
        </w:tc>
        <w:tc>
          <w:tcPr>
            <w:tcW w:type="dxa" w:w="5706"/>
            <w:shd w:fill="004976" w:val="clear"/>
            <w:tcMar>
              <w:top w:type="dxa" w:w="90"/>
              <w:left w:type="dxa" w:w="130"/>
              <w:bottom w:type="dxa" w:w="90"/>
              <w:right w:type="dxa" w:w="130"/>
            </w:tcMar>
          </w:tcPr>
          <w:p>
            <w:r>
              <w:rPr>
                <w:rFonts w:ascii="Lato" w:cs="Lato" w:eastAsia="Lato" w:hAnsi="Lato"/>
                <w:b/>
                <w:bCs/>
                <w:color w:val="FFFFFF"/>
                <w:sz w:val="19"/>
                <w:szCs w:val="19"/>
              </w:rPr>
              <w:t xml:space="preserve">What you will do</w:t>
            </w:r>
          </w:p>
        </w:tc>
      </w:tr>
      <w:tr>
        <w:tc>
          <w:tcPr>
            <w:tcW w:type="dxa" w:w="2500"/>
            <w:shd w:fill="FFFFFF" w:val="clear"/>
            <w:tcMar>
              <w:top w:type="dxa" w:w="90"/>
              <w:left w:type="dxa" w:w="130"/>
              <w:bottom w:type="dxa" w:w="90"/>
              <w:right w:type="dxa" w:w="130"/>
            </w:tcMar>
          </w:tcPr>
          <w:p>
            <w:r>
              <w:rPr>
                <w:rFonts w:ascii="Roboto" w:cs="Roboto" w:eastAsia="Roboto" w:hAnsi="Roboto"/>
                <w:b/>
                <w:bCs/>
                <w:color w:val="041E42"/>
                <w:sz w:val="20"/>
                <w:szCs w:val="20"/>
              </w:rPr>
              <w:t xml:space="preserve">Pre-work</w:t>
            </w:r>
          </w:p>
        </w:tc>
        <w:tc>
          <w:tcPr>
            <w:tcW w:type="dxa" w:w="1300"/>
            <w:shd w:fill="FFFFFF" w:val="clear"/>
            <w:tcMar>
              <w:top w:type="dxa" w:w="90"/>
              <w:left w:type="dxa" w:w="130"/>
              <w:bottom w:type="dxa" w:w="90"/>
              <w:right w:type="dxa" w:w="130"/>
            </w:tcMar>
          </w:tcPr>
          <w:p>
            <w:r>
              <w:rPr>
                <w:rFonts w:ascii="Lato" w:cs="Lato" w:eastAsia="Lato" w:hAnsi="Lato"/>
                <w:color w:val="041E42"/>
                <w:sz w:val="20"/>
                <w:szCs w:val="20"/>
              </w:rPr>
              <w:t xml:space="preserve">~1 hr</w:t>
            </w:r>
          </w:p>
        </w:tc>
        <w:tc>
          <w:tcPr>
            <w:tcW w:type="dxa" w:w="5706"/>
            <w:shd w:fill="FFFFFF" w:val="clear"/>
            <w:tcMar>
              <w:top w:type="dxa" w:w="90"/>
              <w:left w:type="dxa" w:w="130"/>
              <w:bottom w:type="dxa" w:w="90"/>
              <w:right w:type="dxa" w:w="130"/>
            </w:tcMar>
          </w:tcPr>
          <w:p>
            <w:r>
              <w:rPr>
                <w:rFonts w:ascii="Lato" w:cs="Lato" w:eastAsia="Lato" w:hAnsi="Lato"/>
                <w:color w:val="041E42"/>
                <w:sz w:val="20"/>
                <w:szCs w:val="20"/>
              </w:rPr>
              <w:t xml:space="preserve">Read the Workbook: the competency framework, the proficiency scale, and how assessment works at Amala. Read one worked case.</w:t>
            </w:r>
          </w:p>
        </w:tc>
      </w:tr>
      <w:tr>
        <w:tc>
          <w:tcPr>
            <w:tcW w:type="dxa" w:w="2500"/>
            <w:shd w:fill="FFFFFF" w:val="clear"/>
            <w:tcMar>
              <w:top w:type="dxa" w:w="90"/>
              <w:left w:type="dxa" w:w="130"/>
              <w:bottom w:type="dxa" w:w="90"/>
              <w:right w:type="dxa" w:w="130"/>
            </w:tcMar>
          </w:tcPr>
          <w:p>
            <w:r>
              <w:rPr>
                <w:rFonts w:ascii="Roboto" w:cs="Roboto" w:eastAsia="Roboto" w:hAnsi="Roboto"/>
                <w:b/>
                <w:bCs/>
                <w:color w:val="041E42"/>
                <w:sz w:val="20"/>
                <w:szCs w:val="20"/>
              </w:rPr>
              <w:t xml:space="preserve">Session 1</w:t>
            </w:r>
          </w:p>
        </w:tc>
        <w:tc>
          <w:tcPr>
            <w:tcW w:type="dxa" w:w="1300"/>
            <w:shd w:fill="FFFFFF" w:val="clear"/>
            <w:tcMar>
              <w:top w:type="dxa" w:w="90"/>
              <w:left w:type="dxa" w:w="130"/>
              <w:bottom w:type="dxa" w:w="90"/>
              <w:right w:type="dxa" w:w="130"/>
            </w:tcMar>
          </w:tcPr>
          <w:p>
            <w:r>
              <w:rPr>
                <w:rFonts w:ascii="Lato" w:cs="Lato" w:eastAsia="Lato" w:hAnsi="Lato"/>
                <w:color w:val="041E42"/>
                <w:sz w:val="20"/>
                <w:szCs w:val="20"/>
              </w:rPr>
              <w:t xml:space="preserve">2 hrs</w:t>
            </w:r>
          </w:p>
        </w:tc>
        <w:tc>
          <w:tcPr>
            <w:tcW w:type="dxa" w:w="5706"/>
            <w:shd w:fill="FFFFFF" w:val="clear"/>
            <w:tcMar>
              <w:top w:type="dxa" w:w="90"/>
              <w:left w:type="dxa" w:w="130"/>
              <w:bottom w:type="dxa" w:w="90"/>
              <w:right w:type="dxa" w:w="130"/>
            </w:tcMar>
          </w:tcPr>
          <w:p>
            <w:r>
              <w:rPr>
                <w:rFonts w:ascii="Lato" w:cs="Lato" w:eastAsia="Lato" w:hAnsi="Lato"/>
                <w:color w:val="041E42"/>
                <w:sz w:val="20"/>
                <w:szCs w:val="20"/>
              </w:rPr>
              <w:t xml:space="preserve">The scale and what counts as evidence. Your trainer models a judgement, then you practise on cases together.</w:t>
            </w:r>
          </w:p>
        </w:tc>
      </w:tr>
      <w:tr>
        <w:tc>
          <w:tcPr>
            <w:tcW w:type="dxa" w:w="2500"/>
            <w:shd w:fill="FFFFFF" w:val="clear"/>
            <w:tcMar>
              <w:top w:type="dxa" w:w="90"/>
              <w:left w:type="dxa" w:w="130"/>
              <w:bottom w:type="dxa" w:w="90"/>
              <w:right w:type="dxa" w:w="130"/>
            </w:tcMar>
          </w:tcPr>
          <w:p>
            <w:r>
              <w:rPr>
                <w:rFonts w:ascii="Roboto" w:cs="Roboto" w:eastAsia="Roboto" w:hAnsi="Roboto"/>
                <w:b/>
                <w:bCs/>
                <w:color w:val="041E42"/>
                <w:sz w:val="20"/>
                <w:szCs w:val="20"/>
              </w:rPr>
              <w:t xml:space="preserve">Independent Work 1</w:t>
            </w:r>
          </w:p>
        </w:tc>
        <w:tc>
          <w:tcPr>
            <w:tcW w:type="dxa" w:w="1300"/>
            <w:shd w:fill="FFFFFF" w:val="clear"/>
            <w:tcMar>
              <w:top w:type="dxa" w:w="90"/>
              <w:left w:type="dxa" w:w="130"/>
              <w:bottom w:type="dxa" w:w="90"/>
              <w:right w:type="dxa" w:w="130"/>
            </w:tcMar>
          </w:tcPr>
          <w:p>
            <w:r>
              <w:rPr>
                <w:rFonts w:ascii="Lato" w:cs="Lato" w:eastAsia="Lato" w:hAnsi="Lato"/>
                <w:color w:val="041E42"/>
                <w:sz w:val="20"/>
                <w:szCs w:val="20"/>
              </w:rPr>
              <w:t xml:space="preserve">~1.5 to 2 hrs</w:t>
            </w:r>
          </w:p>
        </w:tc>
        <w:tc>
          <w:tcPr>
            <w:tcW w:type="dxa" w:w="5706"/>
            <w:shd w:fill="FFFFFF" w:val="clear"/>
            <w:tcMar>
              <w:top w:type="dxa" w:w="90"/>
              <w:left w:type="dxa" w:w="130"/>
              <w:bottom w:type="dxa" w:w="90"/>
              <w:right w:type="dxa" w:w="130"/>
            </w:tcMar>
          </w:tcPr>
          <w:p>
            <w:r>
              <w:rPr>
                <w:rFonts w:ascii="Lato" w:cs="Lato" w:eastAsia="Lato" w:hAnsi="Lato"/>
                <w:color w:val="041E42"/>
                <w:sz w:val="20"/>
                <w:szCs w:val="20"/>
              </w:rPr>
              <w:t xml:space="preserve">Judge a set of practice cases on your own, recording your level and reasoning, then check them against the moderated decisions.</w:t>
            </w:r>
          </w:p>
        </w:tc>
      </w:tr>
      <w:tr>
        <w:tc>
          <w:tcPr>
            <w:tcW w:type="dxa" w:w="2500"/>
            <w:shd w:fill="FFFFFF" w:val="clear"/>
            <w:tcMar>
              <w:top w:type="dxa" w:w="90"/>
              <w:left w:type="dxa" w:w="130"/>
              <w:bottom w:type="dxa" w:w="90"/>
              <w:right w:type="dxa" w:w="130"/>
            </w:tcMar>
          </w:tcPr>
          <w:p>
            <w:r>
              <w:rPr>
                <w:rFonts w:ascii="Roboto" w:cs="Roboto" w:eastAsia="Roboto" w:hAnsi="Roboto"/>
                <w:b/>
                <w:bCs/>
                <w:color w:val="041E42"/>
                <w:sz w:val="20"/>
                <w:szCs w:val="20"/>
              </w:rPr>
              <w:t xml:space="preserve">Session 2</w:t>
            </w:r>
          </w:p>
        </w:tc>
        <w:tc>
          <w:tcPr>
            <w:tcW w:type="dxa" w:w="1300"/>
            <w:shd w:fill="FFFFFF" w:val="clear"/>
            <w:tcMar>
              <w:top w:type="dxa" w:w="90"/>
              <w:left w:type="dxa" w:w="130"/>
              <w:bottom w:type="dxa" w:w="90"/>
              <w:right w:type="dxa" w:w="130"/>
            </w:tcMar>
          </w:tcPr>
          <w:p>
            <w:r>
              <w:rPr>
                <w:rFonts w:ascii="Lato" w:cs="Lato" w:eastAsia="Lato" w:hAnsi="Lato"/>
                <w:color w:val="041E42"/>
                <w:sz w:val="20"/>
                <w:szCs w:val="20"/>
              </w:rPr>
              <w:t xml:space="preserve">2 hrs</w:t>
            </w:r>
          </w:p>
        </w:tc>
        <w:tc>
          <w:tcPr>
            <w:tcW w:type="dxa" w:w="5706"/>
            <w:shd w:fill="FFFFFF" w:val="clear"/>
            <w:tcMar>
              <w:top w:type="dxa" w:w="90"/>
              <w:left w:type="dxa" w:w="130"/>
              <w:bottom w:type="dxa" w:w="90"/>
              <w:right w:type="dxa" w:w="130"/>
            </w:tcMar>
          </w:tcPr>
          <w:p>
            <w:r>
              <w:rPr>
                <w:rFonts w:ascii="Lato" w:cs="Lato" w:eastAsia="Lato" w:hAnsi="Lato"/>
                <w:color w:val="041E42"/>
                <w:sz w:val="20"/>
                <w:szCs w:val="20"/>
              </w:rPr>
              <w:t xml:space="preserve">Calibration and moderation practice: compare judgements, defend your reasoning, and experience moderation.</w:t>
            </w:r>
          </w:p>
        </w:tc>
      </w:tr>
      <w:tr>
        <w:tc>
          <w:tcPr>
            <w:tcW w:type="dxa" w:w="2500"/>
            <w:shd w:fill="FFFFFF" w:val="clear"/>
            <w:tcMar>
              <w:top w:type="dxa" w:w="90"/>
              <w:left w:type="dxa" w:w="130"/>
              <w:bottom w:type="dxa" w:w="90"/>
              <w:right w:type="dxa" w:w="130"/>
            </w:tcMar>
          </w:tcPr>
          <w:p>
            <w:r>
              <w:rPr>
                <w:rFonts w:ascii="Roboto" w:cs="Roboto" w:eastAsia="Roboto" w:hAnsi="Roboto"/>
                <w:b/>
                <w:bCs/>
                <w:color w:val="041E42"/>
                <w:sz w:val="20"/>
                <w:szCs w:val="20"/>
              </w:rPr>
              <w:t xml:space="preserve">Assessment</w:t>
            </w:r>
          </w:p>
        </w:tc>
        <w:tc>
          <w:tcPr>
            <w:tcW w:type="dxa" w:w="1300"/>
            <w:shd w:fill="FFFFFF" w:val="clear"/>
            <w:tcMar>
              <w:top w:type="dxa" w:w="90"/>
              <w:left w:type="dxa" w:w="130"/>
              <w:bottom w:type="dxa" w:w="90"/>
              <w:right w:type="dxa" w:w="130"/>
            </w:tcMar>
          </w:tcPr>
          <w:p>
            <w:r>
              <w:rPr>
                <w:rFonts w:ascii="Lato" w:cs="Lato" w:eastAsia="Lato" w:hAnsi="Lato"/>
                <w:color w:val="041E42"/>
                <w:sz w:val="20"/>
                <w:szCs w:val="20"/>
              </w:rPr>
              <w:t xml:space="preserve">~1.5 to 2 hrs</w:t>
            </w:r>
          </w:p>
        </w:tc>
        <w:tc>
          <w:tcPr>
            <w:tcW w:type="dxa" w:w="5706"/>
            <w:shd w:fill="FFFFFF" w:val="clear"/>
            <w:tcMar>
              <w:top w:type="dxa" w:w="90"/>
              <w:left w:type="dxa" w:w="130"/>
              <w:bottom w:type="dxa" w:w="90"/>
              <w:right w:type="dxa" w:w="130"/>
            </w:tcMar>
          </w:tcPr>
          <w:p>
            <w:r>
              <w:rPr>
                <w:rFonts w:ascii="Lato" w:cs="Lato" w:eastAsia="Lato" w:hAnsi="Lato"/>
                <w:color w:val="041E42"/>
                <w:sz w:val="20"/>
                <w:szCs w:val="20"/>
              </w:rPr>
              <w:t xml:space="preserve">Judge the assessment cases your trainer provides, write your reasoning and a short moderation-prep note, and submit.</w:t>
            </w:r>
          </w:p>
        </w:tc>
      </w:tr>
    </w:tbl>
    <w:p>
      <w:pPr>
        <w:spacing w:after="160"/>
      </w:pPr>
    </w:p>
    <w:tbl>
      <w:tblPr>
        <w:tblW w:type="dxa" w:w="9506"/>
        <w:tblBorders>
          <w:top w:val="none"/>
          <w:left w:val="none"/>
          <w:bottom w:val="none"/>
          <w:right w:val="none"/>
          <w:insideH w:val="none"/>
          <w:insideV w:val="none"/>
        </w:tblBorders>
      </w:tblPr>
      <w:tblGrid>
        <w:gridCol w:w="9506"/>
      </w:tblGrid>
      <w:tr>
        <w:tc>
          <w:tcPr>
            <w:tcW w:type="dxa" w:w="9506"/>
            <w:shd w:fill="E4ECF2" w:val="clear"/>
            <w:tcMar>
              <w:top w:type="dxa" w:w="160"/>
              <w:left w:type="dxa" w:w="220"/>
              <w:bottom w:type="dxa" w:w="160"/>
              <w:right w:type="dxa" w:w="220"/>
            </w:tcMar>
          </w:tcPr>
          <w:p>
            <w:pPr>
              <w:spacing w:after="120"/>
            </w:pPr>
            <w:r>
              <w:rPr>
                <w:rFonts w:ascii="Roboto" w:cs="Roboto" w:eastAsia="Roboto" w:hAnsi="Roboto"/>
                <w:b/>
                <w:bCs/>
                <w:color w:val="004976"/>
                <w:sz w:val="22"/>
                <w:szCs w:val="22"/>
              </w:rPr>
              <w:t xml:space="preserve">Pre-work  ·  Independent  ·  ~1 hour</w:t>
            </w:r>
          </w:p>
          <w:p>
            <w:pPr>
              <w:spacing w:after="140" w:line="276"/>
            </w:pPr>
            <w:r>
              <w:rPr>
                <w:rFonts w:ascii="Lato" w:cs="Lato" w:eastAsia="Lato" w:hAnsi="Lato"/>
                <w:color w:val="041E42"/>
                <w:sz w:val="21"/>
                <w:szCs w:val="21"/>
              </w:rPr>
              <w:t xml:space="preserve">Complete this before Session 1. Arriving with the scale already read means Session 1 can be spent practising, not catching up.</w:t>
            </w:r>
          </w:p>
          <w:p>
            <w:pPr>
              <w:spacing w:after="120" w:line="276"/>
            </w:pPr>
            <w:r>
              <w:rPr>
                <w:rFonts w:ascii="Lato" w:cs="Lato" w:eastAsia="Lato" w:hAnsi="Lato"/>
                <w:b/>
                <w:bCs/>
                <w:color w:val="004976"/>
                <w:sz w:val="21"/>
                <w:szCs w:val="21"/>
              </w:rPr>
              <w:t xml:space="preserve">Task 1  ·  Read  ·  ~40 min.  </w:t>
            </w:r>
            <w:r>
              <w:rPr>
                <w:rFonts w:ascii="Lato" w:cs="Lato" w:eastAsia="Lato" w:hAnsi="Lato"/>
                <w:color w:val="041E42"/>
                <w:sz w:val="21"/>
                <w:szCs w:val="21"/>
              </w:rPr>
              <w:t xml:space="preserve">Read the Workbook: the competency framework, the proficiency scale, and how competency assessment works at Amala. Give most attention to the five levels of the scale, and to the principle that a judgement is made about the learner across the evidence over time, not about a single piece of work.</w:t>
            </w:r>
          </w:p>
          <w:p>
            <w:pPr>
              <w:spacing w:after="0" w:line="276"/>
            </w:pPr>
            <w:r>
              <w:rPr>
                <w:rFonts w:ascii="Lato" w:cs="Lato" w:eastAsia="Lato" w:hAnsi="Lato"/>
                <w:b/>
                <w:bCs/>
                <w:color w:val="004976"/>
                <w:sz w:val="21"/>
                <w:szCs w:val="21"/>
              </w:rPr>
              <w:t xml:space="preserve">Task 2  ·  Read one case  ·  ~20 min.  </w:t>
            </w:r>
            <w:r>
              <w:rPr>
                <w:rFonts w:ascii="Lato" w:cs="Lato" w:eastAsia="Lato" w:hAnsi="Lato"/>
                <w:color w:val="041E42"/>
                <w:sz w:val="21"/>
                <w:szCs w:val="21"/>
              </w:rPr>
              <w:t xml:space="preserve">Read the worked case in the Workbook. Notice how its level is decided from what the evidence shows, not from anything that labels it. The evidence never announces the answer; finding it is the skill.</w:t>
            </w:r>
          </w:p>
        </w:tc>
      </w:tr>
    </w:tbl>
    <w:p>
      <w:pPr>
        <w:spacing w:after="140"/>
      </w:pPr>
    </w:p>
    <w:tbl>
      <w:tblPr>
        <w:tblW w:type="dxa" w:w="9506"/>
        <w:tblBorders>
          <w:top w:val="none"/>
          <w:left w:val="none"/>
          <w:bottom w:val="none"/>
          <w:right w:val="none"/>
          <w:insideH w:val="none"/>
          <w:insideV w:val="none"/>
        </w:tblBorders>
      </w:tblPr>
      <w:tblGrid>
        <w:gridCol w:w="9506"/>
      </w:tblGrid>
      <w:tr>
        <w:tc>
          <w:tcPr>
            <w:tcW w:type="dxa" w:w="9506"/>
            <w:shd w:fill="E4ECF2" w:val="clear"/>
            <w:tcMar>
              <w:top w:type="dxa" w:w="160"/>
              <w:left w:type="dxa" w:w="220"/>
              <w:bottom w:type="dxa" w:w="160"/>
              <w:right w:type="dxa" w:w="220"/>
            </w:tcMar>
          </w:tcPr>
          <w:p>
            <w:pPr>
              <w:spacing w:after="120"/>
            </w:pPr>
            <w:r>
              <w:rPr>
                <w:rFonts w:ascii="Roboto" w:cs="Roboto" w:eastAsia="Roboto" w:hAnsi="Roboto"/>
                <w:b/>
                <w:bCs/>
                <w:color w:val="004976"/>
                <w:sz w:val="22"/>
                <w:szCs w:val="22"/>
              </w:rPr>
              <w:t xml:space="preserve">Session 1  ·  Synchronous  ·  2 hours</w:t>
            </w:r>
          </w:p>
          <w:p>
            <w:pPr>
              <w:spacing w:after="120" w:line="276"/>
            </w:pPr>
            <w:r>
              <w:rPr>
                <w:rFonts w:ascii="Lato" w:cs="Lato" w:eastAsia="Lato" w:hAnsi="Lato"/>
                <w:b/>
                <w:bCs/>
                <w:color w:val="004976"/>
                <w:sz w:val="21"/>
                <w:szCs w:val="21"/>
              </w:rPr>
              <w:t xml:space="preserve">Come with:  </w:t>
            </w:r>
            <w:r>
              <w:rPr>
                <w:rFonts w:ascii="Lato" w:cs="Lato" w:eastAsia="Lato" w:hAnsi="Lato"/>
                <w:color w:val="041E42"/>
                <w:sz w:val="21"/>
                <w:szCs w:val="21"/>
              </w:rPr>
              <w:t xml:space="preserve">the Workbook read, and any questions about the scale.</w:t>
            </w:r>
          </w:p>
          <w:p>
            <w:pPr>
              <w:spacing w:after="0" w:line="276"/>
            </w:pPr>
            <w:r>
              <w:rPr>
                <w:rFonts w:ascii="Lato" w:cs="Lato" w:eastAsia="Lato" w:hAnsi="Lato"/>
                <w:b/>
                <w:bCs/>
                <w:color w:val="004976"/>
                <w:sz w:val="21"/>
                <w:szCs w:val="21"/>
              </w:rPr>
              <w:t xml:space="preserve">What to expect.  </w:t>
            </w:r>
            <w:r>
              <w:rPr>
                <w:rFonts w:ascii="Lato" w:cs="Lato" w:eastAsia="Lato" w:hAnsi="Lato"/>
                <w:color w:val="041E42"/>
                <w:sz w:val="21"/>
                <w:szCs w:val="21"/>
              </w:rPr>
              <w:t xml:space="preserve">The trainer works through the scale level by level, and what separates each level from the one below, in particular the credit line at Practitioner and the case where no level is awarded. Together you look at what counts as evidence, and how the same evidence is weighed against the goal a competency names. The trainer models a judgement on a case, thinking aloud, then you judge one or two cases as a group and talk through where you agree and where you differ.</w:t>
            </w:r>
          </w:p>
        </w:tc>
      </w:tr>
    </w:tbl>
    <w:p>
      <w:pPr>
        <w:spacing w:after="140"/>
      </w:pPr>
    </w:p>
    <w:tbl>
      <w:tblPr>
        <w:tblW w:type="dxa" w:w="9506"/>
        <w:tblBorders>
          <w:top w:val="none"/>
          <w:left w:val="none"/>
          <w:bottom w:val="none"/>
          <w:right w:val="none"/>
          <w:insideH w:val="none"/>
          <w:insideV w:val="none"/>
        </w:tblBorders>
      </w:tblPr>
      <w:tblGrid>
        <w:gridCol w:w="9506"/>
      </w:tblGrid>
      <w:tr>
        <w:tc>
          <w:tcPr>
            <w:tcW w:type="dxa" w:w="9506"/>
            <w:shd w:fill="E4ECF2" w:val="clear"/>
            <w:tcMar>
              <w:top w:type="dxa" w:w="160"/>
              <w:left w:type="dxa" w:w="220"/>
              <w:bottom w:type="dxa" w:w="160"/>
              <w:right w:type="dxa" w:w="220"/>
            </w:tcMar>
          </w:tcPr>
          <w:p>
            <w:pPr>
              <w:spacing w:after="120"/>
            </w:pPr>
            <w:r>
              <w:rPr>
                <w:rFonts w:ascii="Roboto" w:cs="Roboto" w:eastAsia="Roboto" w:hAnsi="Roboto"/>
                <w:b/>
                <w:bCs/>
                <w:color w:val="004976"/>
                <w:sz w:val="22"/>
                <w:szCs w:val="22"/>
              </w:rPr>
              <w:t xml:space="preserve">Independent Work 1  ·  Independent  ·  ~1.5 to 2 hours</w:t>
            </w:r>
          </w:p>
          <w:p>
            <w:pPr>
              <w:spacing w:after="140" w:line="276"/>
            </w:pPr>
            <w:r>
              <w:rPr>
                <w:rFonts w:ascii="Lato" w:cs="Lato" w:eastAsia="Lato" w:hAnsi="Lato"/>
                <w:color w:val="041E42"/>
                <w:sz w:val="21"/>
                <w:szCs w:val="21"/>
              </w:rPr>
              <w:t xml:space="preserve">Complete this before Session 2.</w:t>
            </w:r>
          </w:p>
          <w:p>
            <w:pPr>
              <w:spacing w:after="120" w:line="276"/>
            </w:pPr>
            <w:r>
              <w:rPr>
                <w:rFonts w:ascii="Lato" w:cs="Lato" w:eastAsia="Lato" w:hAnsi="Lato"/>
                <w:b/>
                <w:bCs/>
                <w:color w:val="004976"/>
                <w:sz w:val="21"/>
                <w:szCs w:val="21"/>
              </w:rPr>
              <w:t xml:space="preserve">Task 3  ·  Judge the practice cases.  </w:t>
            </w:r>
            <w:r>
              <w:rPr>
                <w:rFonts w:ascii="Lato" w:cs="Lato" w:eastAsia="Lato" w:hAnsi="Lato"/>
                <w:color w:val="041E42"/>
                <w:sz w:val="21"/>
                <w:szCs w:val="21"/>
              </w:rPr>
              <w:t xml:space="preserve">In the case bank educator edition, work through the practice cases your trainer sets. For each, decide which single level the evidence supports and write your reasoning in the space provided, pointing to what in the evidence carries your decision.</w:t>
            </w:r>
          </w:p>
          <w:p>
            <w:pPr>
              <w:spacing w:after="0" w:line="276"/>
            </w:pPr>
            <w:r>
              <w:rPr>
                <w:rFonts w:ascii="Lato" w:cs="Lato" w:eastAsia="Lato" w:hAnsi="Lato"/>
                <w:b/>
                <w:bCs/>
                <w:color w:val="004976"/>
                <w:sz w:val="21"/>
                <w:szCs w:val="21"/>
              </w:rPr>
              <w:t xml:space="preserve">Task 4  ·  Check yourself.  </w:t>
            </w:r>
            <w:r>
              <w:rPr>
                <w:rFonts w:ascii="Lato" w:cs="Lato" w:eastAsia="Lato" w:hAnsi="Lato"/>
                <w:color w:val="041E42"/>
                <w:sz w:val="21"/>
                <w:szCs w:val="21"/>
              </w:rPr>
              <w:t xml:space="preserve">Compare your judgements with the moderated decisions in the companion edition. Where you differ, look at what the reasoning rests on. Note any level boundary you found hard, and bring it to Session 2.</w:t>
            </w:r>
          </w:p>
        </w:tc>
      </w:tr>
    </w:tbl>
    <w:p>
      <w:pPr>
        <w:spacing w:after="140"/>
      </w:pPr>
    </w:p>
    <w:tbl>
      <w:tblPr>
        <w:tblW w:type="dxa" w:w="9506"/>
        <w:tblBorders>
          <w:top w:val="none"/>
          <w:left w:val="none"/>
          <w:bottom w:val="none"/>
          <w:right w:val="none"/>
          <w:insideH w:val="none"/>
          <w:insideV w:val="none"/>
        </w:tblBorders>
      </w:tblPr>
      <w:tblGrid>
        <w:gridCol w:w="9506"/>
      </w:tblGrid>
      <w:tr>
        <w:tc>
          <w:tcPr>
            <w:tcW w:type="dxa" w:w="9506"/>
            <w:shd w:fill="E4ECF2" w:val="clear"/>
            <w:tcMar>
              <w:top w:type="dxa" w:w="160"/>
              <w:left w:type="dxa" w:w="220"/>
              <w:bottom w:type="dxa" w:w="160"/>
              <w:right w:type="dxa" w:w="220"/>
            </w:tcMar>
          </w:tcPr>
          <w:p>
            <w:pPr>
              <w:spacing w:after="120"/>
            </w:pPr>
            <w:r>
              <w:rPr>
                <w:rFonts w:ascii="Roboto" w:cs="Roboto" w:eastAsia="Roboto" w:hAnsi="Roboto"/>
                <w:b/>
                <w:bCs/>
                <w:color w:val="004976"/>
                <w:sz w:val="22"/>
                <w:szCs w:val="22"/>
              </w:rPr>
              <w:t xml:space="preserve">Session 2  ·  Synchronous  ·  2 hours</w:t>
            </w:r>
          </w:p>
          <w:p>
            <w:pPr>
              <w:spacing w:after="120" w:line="276"/>
            </w:pPr>
            <w:r>
              <w:rPr>
                <w:rFonts w:ascii="Lato" w:cs="Lato" w:eastAsia="Lato" w:hAnsi="Lato"/>
                <w:b/>
                <w:bCs/>
                <w:color w:val="004976"/>
                <w:sz w:val="21"/>
                <w:szCs w:val="21"/>
              </w:rPr>
              <w:t xml:space="preserve">Come with:  </w:t>
            </w:r>
            <w:r>
              <w:rPr>
                <w:rFonts w:ascii="Lato" w:cs="Lato" w:eastAsia="Lato" w:hAnsi="Lato"/>
                <w:color w:val="041E42"/>
                <w:sz w:val="21"/>
                <w:szCs w:val="21"/>
              </w:rPr>
              <w:t xml:space="preserve">your judged practice cases and your notes on where the boundaries were hard.</w:t>
            </w:r>
          </w:p>
          <w:p>
            <w:pPr>
              <w:spacing w:after="0" w:line="276"/>
            </w:pPr>
            <w:r>
              <w:rPr>
                <w:rFonts w:ascii="Lato" w:cs="Lato" w:eastAsia="Lato" w:hAnsi="Lato"/>
                <w:b/>
                <w:bCs/>
                <w:color w:val="004976"/>
                <w:sz w:val="21"/>
                <w:szCs w:val="21"/>
              </w:rPr>
              <w:t xml:space="preserve">What to expect.  </w:t>
            </w:r>
            <w:r>
              <w:rPr>
                <w:rFonts w:ascii="Lato" w:cs="Lato" w:eastAsia="Lato" w:hAnsi="Lato"/>
                <w:color w:val="041E42"/>
                <w:sz w:val="21"/>
                <w:szCs w:val="21"/>
              </w:rPr>
              <w:t xml:space="preserve">This session is calibration and moderation. In pairs and small groups you compare judgements on the same cases, defend your reasoning against the evidence, and work towards a shared view. That is the experience of moderation. The trainer surfaces the common places a judgement slips, over-awarding for effort, mistaking an attempt for an achievement, crediting reflection that belongs to the project rather than the competency. By the end you will know what a defensible judgement sounds like and how to prepare to take one into moderation.</w:t>
            </w:r>
          </w:p>
        </w:tc>
      </w:tr>
    </w:tbl>
    <w:p>
      <w:pPr>
        <w:spacing w:after="14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60"/>
              <w:left w:type="dxa" w:w="220"/>
              <w:bottom w:type="dxa" w:w="160"/>
              <w:right w:type="dxa" w:w="220"/>
            </w:tcMar>
          </w:tcPr>
          <w:p>
            <w:pPr>
              <w:spacing w:after="120"/>
            </w:pPr>
            <w:r>
              <w:rPr>
                <w:rFonts w:ascii="Roboto" w:cs="Roboto" w:eastAsia="Roboto" w:hAnsi="Roboto"/>
                <w:b/>
                <w:bCs/>
                <w:color w:val="004976"/>
                <w:sz w:val="22"/>
                <w:szCs w:val="22"/>
              </w:rPr>
              <w:t xml:space="preserve">Assessment  ·  Independent  ·  ~1.5 to 2 hours</w:t>
            </w:r>
          </w:p>
          <w:p>
            <w:pPr>
              <w:spacing w:after="140" w:line="276"/>
            </w:pPr>
            <w:r>
              <w:rPr>
                <w:rFonts w:ascii="Lato" w:cs="Lato" w:eastAsia="Lato" w:hAnsi="Lato"/>
                <w:color w:val="041E42"/>
                <w:sz w:val="21"/>
                <w:szCs w:val="21"/>
              </w:rPr>
              <w:t xml:space="preserve">This is your assessment for the module. Complete it after Session 2.</w:t>
            </w:r>
          </w:p>
          <w:p>
            <w:pPr>
              <w:spacing w:after="120" w:line="276"/>
            </w:pPr>
            <w:r>
              <w:rPr>
                <w:rFonts w:ascii="Lato" w:cs="Lato" w:eastAsia="Lato" w:hAnsi="Lato"/>
                <w:b/>
                <w:bCs/>
                <w:color w:val="004976"/>
                <w:sz w:val="21"/>
                <w:szCs w:val="21"/>
              </w:rPr>
              <w:t xml:space="preserve">Task 5  ·  Judge the assessment cases.  </w:t>
            </w:r>
            <w:r>
              <w:rPr>
                <w:rFonts w:ascii="Lato" w:cs="Lato" w:eastAsia="Lato" w:hAnsi="Lato"/>
                <w:color w:val="041E42"/>
                <w:sz w:val="21"/>
                <w:szCs w:val="21"/>
              </w:rPr>
              <w:t xml:space="preserve">Your trainer provides the assessment set. For each case, award a level and write your reasoning, tied to what the evidence shows across the sources. You will not have the moderated decisions for these.</w:t>
            </w:r>
          </w:p>
          <w:p>
            <w:pPr>
              <w:spacing w:after="0" w:line="276"/>
            </w:pPr>
            <w:r>
              <w:rPr>
                <w:rFonts w:ascii="Lato" w:cs="Lato" w:eastAsia="Lato" w:hAnsi="Lato"/>
                <w:b/>
                <w:bCs/>
                <w:color w:val="004976"/>
                <w:sz w:val="21"/>
                <w:szCs w:val="21"/>
              </w:rPr>
              <w:t xml:space="preserve">Task 6  ·  Write your moderation-prep note.  </w:t>
            </w:r>
            <w:r>
              <w:rPr>
                <w:rFonts w:ascii="Lato" w:cs="Lato" w:eastAsia="Lato" w:hAnsi="Lato"/>
                <w:color w:val="041E42"/>
                <w:sz w:val="21"/>
                <w:szCs w:val="21"/>
              </w:rPr>
              <w:t xml:space="preserve">In a short note, set out how you would prepare to take these judgements into moderation: which were hardest, where you were least sure, and what evidence you would point to. Submit both to your trainer.</w:t>
            </w:r>
          </w:p>
        </w:tc>
      </w:tr>
    </w:tbl>
    <w:p>
      <w:pPr>
        <w:spacing w:after="160"/>
      </w:pPr>
    </w:p>
    <w:p>
      <w:pPr>
        <w:pBdr>
          <w:bottom w:val="single" w:color="8F993E" w:sz="6" w:space="4"/>
        </w:pBdr>
        <w:spacing w:after="100" w:before="260"/>
      </w:pPr>
      <w:r>
        <w:rPr>
          <w:rFonts w:ascii="Roboto" w:cs="Roboto" w:eastAsia="Roboto" w:hAnsi="Roboto"/>
          <w:b/>
          <w:bCs/>
          <w:color w:val="004976"/>
          <w:sz w:val="30"/>
          <w:szCs w:val="30"/>
        </w:rPr>
        <w:t xml:space="preserve">How you will be signed off</w:t>
      </w:r>
    </w:p>
    <w:p>
      <w:pPr>
        <w:spacing w:after="120" w:line="276"/>
      </w:pPr>
      <w:r>
        <w:rPr>
          <w:rFonts w:ascii="Lato" w:cs="Lato" w:eastAsia="Lato" w:hAnsi="Lato"/>
          <w:color w:val="041E42"/>
          <w:sz w:val="21"/>
          <w:szCs w:val="21"/>
        </w:rPr>
        <w:t xml:space="preserve">After you submit, your trainer reviews your judgements to confirm you have met the standard for this module. There is no observed teaching and no interview: the judgement is made from what you submit.</w:t>
      </w:r>
    </w:p>
    <w:p>
      <w:pPr>
        <w:spacing w:after="140" w:line="276"/>
      </w:pPr>
      <w:r>
        <w:rPr>
          <w:rFonts w:ascii="Lato" w:cs="Lato" w:eastAsia="Lato" w:hAnsi="Lato"/>
          <w:b/>
          <w:bCs/>
          <w:color w:val="004976"/>
          <w:sz w:val="21"/>
          <w:szCs w:val="21"/>
        </w:rPr>
        <w:t xml:space="preserve">What you submit.  </w:t>
      </w:r>
      <w:r>
        <w:rPr>
          <w:rFonts w:ascii="Lato" w:cs="Lato" w:eastAsia="Lato" w:hAnsi="Lato"/>
          <w:color w:val="041E42"/>
          <w:sz w:val="21"/>
          <w:szCs w:val="21"/>
        </w:rPr>
        <w:t xml:space="preserve">Your level and reasoning for each assessment case, and your moderation-prep note.</w:t>
      </w:r>
    </w:p>
    <w:p>
      <w:pPr>
        <w:spacing w:after="100" w:line="276"/>
      </w:pPr>
      <w:r>
        <w:rPr>
          <w:rFonts w:ascii="Lato" w:cs="Lato" w:eastAsia="Lato" w:hAnsi="Lato"/>
          <w:color w:val="041E42"/>
          <w:sz w:val="21"/>
          <w:szCs w:val="21"/>
        </w:rPr>
        <w:t xml:space="preserve">Your trainer looks at three things, each judged Met or Not yet:</w:t>
      </w:r>
    </w:p>
    <w:p>
      <w:pPr>
        <w:spacing w:after="80"/>
      </w:pPr>
      <w:r>
        <w:rPr>
          <w:rFonts w:ascii="Lato" w:cs="Lato" w:eastAsia="Lato" w:hAnsi="Lato"/>
          <w:b/>
          <w:bCs/>
          <w:color w:val="004976"/>
          <w:sz w:val="21"/>
          <w:szCs w:val="21"/>
        </w:rPr>
        <w:t xml:space="preserve">1.  Defensible across the scale.  </w:t>
      </w:r>
      <w:r>
        <w:rPr>
          <w:rFonts w:ascii="Lato" w:cs="Lato" w:eastAsia="Lato" w:hAnsi="Lato"/>
          <w:color w:val="041E42"/>
          <w:sz w:val="21"/>
          <w:szCs w:val="21"/>
        </w:rPr>
        <w:t xml:space="preserve">Your judgements are sound across the levels, including the credit line and the case where no level is awarded.</w:t>
      </w:r>
    </w:p>
    <w:p>
      <w:pPr>
        <w:spacing w:after="80"/>
      </w:pPr>
      <w:r>
        <w:rPr>
          <w:rFonts w:ascii="Lato" w:cs="Lato" w:eastAsia="Lato" w:hAnsi="Lato"/>
          <w:b/>
          <w:bCs/>
          <w:color w:val="004976"/>
          <w:sz w:val="21"/>
          <w:szCs w:val="21"/>
        </w:rPr>
        <w:t xml:space="preserve">2.  Reasoning tied to evidence.  </w:t>
      </w:r>
      <w:r>
        <w:rPr>
          <w:rFonts w:ascii="Lato" w:cs="Lato" w:eastAsia="Lato" w:hAnsi="Lato"/>
          <w:color w:val="041E42"/>
          <w:sz w:val="21"/>
          <w:szCs w:val="21"/>
        </w:rPr>
        <w:t xml:space="preserve">Each judgement is justified by what the evidence shows, across sources, rather than asserted.</w:t>
      </w:r>
    </w:p>
    <w:p>
      <w:pPr>
        <w:spacing w:after="140"/>
      </w:pPr>
      <w:r>
        <w:rPr>
          <w:rFonts w:ascii="Lato" w:cs="Lato" w:eastAsia="Lato" w:hAnsi="Lato"/>
          <w:b/>
          <w:bCs/>
          <w:color w:val="004976"/>
          <w:sz w:val="21"/>
          <w:szCs w:val="21"/>
        </w:rPr>
        <w:t xml:space="preserve">3.  Ready for moderation.  </w:t>
      </w:r>
      <w:r>
        <w:rPr>
          <w:rFonts w:ascii="Lato" w:cs="Lato" w:eastAsia="Lato" w:hAnsi="Lato"/>
          <w:color w:val="041E42"/>
          <w:sz w:val="21"/>
          <w:szCs w:val="21"/>
        </w:rPr>
        <w:t xml:space="preserve">Your note shows you can prepare to defend your judgements and, where needed, revise them.</w:t>
      </w:r>
    </w:p>
    <w:p>
      <w:pPr>
        <w:spacing w:after="0" w:line="276"/>
      </w:pPr>
      <w:r>
        <w:rPr>
          <w:rFonts w:ascii="Lato" w:cs="Lato" w:eastAsia="Lato" w:hAnsi="Lato"/>
          <w:color w:val="041E42"/>
          <w:sz w:val="21"/>
          <w:szCs w:val="21"/>
        </w:rPr>
        <w:t xml:space="preserve">If anything is not yet there, you will get specific feedback and one chance to revise and resubmit. Passing means you hold the Conducting Assessments of Competence module.</w:t>
      </w:r>
    </w:p>
    <w:sectPr>
      <w:footerReference w:type="default" r:id="rId7"/>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ato" w:cs="Lato" w:eastAsia="Lato" w:hAnsi="Lato"/>
        <w:color w:val="97999B"/>
        <w:sz w:val="16"/>
        <w:szCs w:val="16"/>
      </w:rPr>
      <w:t xml:space="preserve">Amala Education for Change     ·     Conducting Assessments of Competence     ·     Participant Guide     ·     Page </w:t>
    </w:r>
    <w:r>
      <w:rPr>
        <w:rFonts w:ascii="Lato" w:cs="Lato" w:eastAsia="Lato" w:hAnsi="Lato"/>
        <w:color w:val="97999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color w:val="041E4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Conducting Assessments of Competence — Participant Guide</dc:title>
  <dc:creator>Amala Education for Change</dc:creator>
  <cp:lastModifiedBy>Un-named</cp:lastModifiedBy>
  <cp:revision>1</cp:revision>
  <dcterms:created xsi:type="dcterms:W3CDTF">2026-07-31T07:55:05.737Z</dcterms:created>
  <dcterms:modified xsi:type="dcterms:W3CDTF">2026-07-31T07:55:05.750Z</dcterms:modified>
</cp:coreProperties>
</file>

<file path=docProps/custom.xml><?xml version="1.0" encoding="utf-8"?>
<Properties xmlns="http://schemas.openxmlformats.org/officeDocument/2006/custom-properties" xmlns:vt="http://schemas.openxmlformats.org/officeDocument/2006/docPropsVTypes"/>
</file>