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Trainer Guide</w:t>
      </w:r>
    </w:p>
    <w:p>
      <w:pPr>
        <w:spacing w:after="200"/>
      </w:pPr>
      <w:r>
        <w:rPr>
          <w:rFonts w:ascii="Lato" w:cs="Lato" w:eastAsia="Lato" w:hAnsi="Lato"/>
          <w:i/>
          <w:iCs/>
          <w:color w:val="97999B"/>
          <w:sz w:val="21"/>
          <w:szCs w:val="21"/>
        </w:rPr>
        <w:t xml:space="preserve">Supporting educators to assess competence at Amala</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How to use this guide</w:t>
            </w:r>
          </w:p>
          <w:p>
            <w:pPr>
              <w:spacing w:after="100" w:line="276"/>
            </w:pPr>
            <w:r>
              <w:rPr>
                <w:rFonts w:ascii="Lato" w:cs="Lato" w:eastAsia="Lato" w:hAnsi="Lato"/>
                <w:b w:val="false"/>
                <w:bCs w:val="false"/>
                <w:i w:val="false"/>
                <w:iCs w:val="false"/>
                <w:color w:val="041E42"/>
                <w:sz w:val="21"/>
                <w:szCs w:val="21"/>
              </w:rPr>
              <w:t xml:space="preserve">This guide walks you through facilitating the two synchronous sessions of the Conducting Assessments of Competence module and handling the assessment that follows. For each session you will find its purpose, a suggested agenda with timings, facilitation notes and prompts, and a closing brief for the independent work.</w:t>
            </w:r>
          </w:p>
          <w:p>
            <w:pPr>
              <w:spacing w:after="100" w:line="276"/>
            </w:pPr>
            <w:r>
              <w:rPr>
                <w:rFonts w:ascii="Lato" w:cs="Lato" w:eastAsia="Lato" w:hAnsi="Lato"/>
                <w:b w:val="false"/>
                <w:bCs w:val="false"/>
                <w:i w:val="false"/>
                <w:iCs w:val="false"/>
                <w:color w:val="041E42"/>
                <w:sz w:val="21"/>
                <w:szCs w:val="21"/>
              </w:rPr>
              <w:t xml:space="preserve">Read the full guide before Session 1, along with the Workbook and Participant Guide. Read all of the cases and their moderated decisions in the trainer edition of the case bank before you teach: you cannot run calibration on cases you have not judged yourself.</w:t>
            </w:r>
          </w:p>
          <w:p>
            <w:pPr>
              <w:spacing w:after="100" w:line="276"/>
            </w:pPr>
            <w:r>
              <w:rPr>
                <w:rFonts w:ascii="Lato" w:cs="Lato" w:eastAsia="Lato" w:hAnsi="Lato"/>
                <w:b w:val="false"/>
                <w:bCs w:val="false"/>
                <w:i w:val="false"/>
                <w:iCs w:val="false"/>
                <w:color w:val="041E42"/>
                <w:sz w:val="21"/>
                <w:szCs w:val="21"/>
              </w:rPr>
              <w:t xml:space="preserve">Participants work in the case bank educator edition and read the Workbook; this is a companion guide for you. Adapt timings and activities to your group. The 7 to 8 hour total is a recommended minimum; any change to the overall hours or the synchronous and independent balance is agreed in advance with Amala Education.</w:t>
            </w:r>
          </w:p>
          <w:p>
            <w:pPr>
              <w:spacing w:after="0" w:line="276"/>
            </w:pPr>
            <w:r>
              <w:rPr>
                <w:rFonts w:ascii="Lato" w:cs="Lato" w:eastAsia="Lato" w:hAnsi="Lato"/>
                <w:b/>
                <w:bCs/>
                <w:i w:val="false"/>
                <w:iCs w:val="false"/>
                <w:color w:val="041E42"/>
                <w:sz w:val="21"/>
                <w:szCs w:val="21"/>
              </w:rPr>
              <w:t xml:space="preserve">Module objective: by the end, every participant can judge a learner’s competence against the proficiency scale from evidence, justify the judgement, and prepare to defend it in moderation.</w:t>
            </w:r>
          </w:p>
        </w:tc>
      </w:tr>
    </w:tbl>
    <w:p>
      <w:pPr>
        <w:spacing w:after="120"/>
      </w:pPr>
    </w:p>
    <w:p>
      <w:pPr>
        <w:spacing w:after="160"/>
      </w:pPr>
      <w:r>
        <w:rPr>
          <w:rFonts w:ascii="Lato" w:cs="Lato" w:eastAsia="Lato" w:hAnsi="Lato"/>
          <w:color w:val="041E42"/>
          <w:sz w:val="21"/>
          <w:szCs w:val="21"/>
        </w:rPr>
        <w:t xml:space="preserve">Trainer name: ____________________________     Organisation: ____________________________</w:t>
      </w:r>
    </w:p>
    <w:tbl>
      <w:tblPr>
        <w:tblW w:type="dxa" w:w="9506"/>
        <w:tblBorders>
          <w:top w:val="none"/>
          <w:left w:val="none"/>
          <w:bottom w:val="none"/>
          <w:right w:val="none"/>
          <w:insideH w:val="none"/>
          <w:insideV w:val="none"/>
        </w:tblBorders>
      </w:tblPr>
      <w:tblGrid>
        <w:gridCol w:w="2376"/>
        <w:gridCol w:w="2376"/>
        <w:gridCol w:w="2376"/>
        <w:gridCol w:w="2378"/>
      </w:tblGrid>
      <w:tr>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Total time</w:t>
            </w:r>
          </w:p>
          <w:p>
            <w:r>
              <w:rPr>
                <w:rFonts w:ascii="Lato" w:cs="Lato" w:eastAsia="Lato" w:hAnsi="Lato"/>
                <w:color w:val="FFFFFF"/>
                <w:sz w:val="20"/>
                <w:szCs w:val="20"/>
              </w:rPr>
              <w:t xml:space="preserve">About 7 to 8 hours</w:t>
            </w:r>
          </w:p>
        </w:tc>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Synchronous</w:t>
            </w:r>
          </w:p>
          <w:p>
            <w:r>
              <w:rPr>
                <w:rFonts w:ascii="Lato" w:cs="Lato" w:eastAsia="Lato" w:hAnsi="Lato"/>
                <w:color w:val="FFFFFF"/>
                <w:sz w:val="20"/>
                <w:szCs w:val="20"/>
              </w:rPr>
              <w:t xml:space="preserve">About 4 hours, two sessions of 2</w:t>
            </w:r>
          </w:p>
        </w:tc>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Independent</w:t>
            </w:r>
          </w:p>
          <w:p>
            <w:r>
              <w:rPr>
                <w:rFonts w:ascii="Lato" w:cs="Lato" w:eastAsia="Lato" w:hAnsi="Lato"/>
                <w:color w:val="FFFFFF"/>
                <w:sz w:val="20"/>
                <w:szCs w:val="20"/>
              </w:rPr>
              <w:t xml:space="preserve">3 to 4 hours</w:t>
            </w:r>
          </w:p>
        </w:tc>
        <w:tc>
          <w:tcPr>
            <w:tcW w:type="dxa" w:w="2378"/>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Outcome</w:t>
            </w:r>
          </w:p>
          <w:p>
            <w:r>
              <w:rPr>
                <w:rFonts w:ascii="Lato" w:cs="Lato" w:eastAsia="Lato" w:hAnsi="Lato"/>
                <w:color w:val="FFFFFF"/>
                <w:sz w:val="20"/>
                <w:szCs w:val="20"/>
              </w:rPr>
              <w:t xml:space="preserve">Educators who can judge competence and prepare for moderation</w:t>
            </w:r>
          </w:p>
        </w:tc>
      </w:tr>
    </w:tbl>
    <w:p>
      <w:pPr>
        <w:spacing w:after="160"/>
      </w:pPr>
    </w:p>
    <w:p>
      <w:pPr>
        <w:pBdr>
          <w:bottom w:val="single" w:color="8F993E" w:sz="6" w:space="4"/>
        </w:pBdr>
        <w:spacing w:after="100" w:before="260"/>
      </w:pPr>
      <w:r>
        <w:rPr>
          <w:rFonts w:ascii="Roboto" w:cs="Roboto" w:eastAsia="Roboto" w:hAnsi="Roboto"/>
          <w:b/>
          <w:bCs/>
          <w:color w:val="004976"/>
          <w:sz w:val="30"/>
          <w:szCs w:val="30"/>
        </w:rPr>
        <w:t xml:space="preserve">Training overview</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100"/>
        <w:gridCol w:w="1500"/>
        <w:gridCol w:w="1200"/>
        <w:gridCol w:w="4706"/>
      </w:tblGrid>
      <w:tr>
        <w:tc>
          <w:tcPr>
            <w:tcW w:type="dxa" w:w="2100"/>
            <w:shd w:fill="004976" w:val="clear"/>
            <w:tcMar>
              <w:top w:type="dxa" w:w="90"/>
              <w:left w:type="dxa" w:w="130"/>
              <w:bottom w:type="dxa" w:w="90"/>
              <w:right w:type="dxa" w:w="130"/>
            </w:tcMar>
          </w:tcPr>
          <w:p>
            <w:r>
              <w:rPr>
                <w:rFonts w:ascii="Roboto" w:cs="Roboto" w:eastAsia="Roboto" w:hAnsi="Roboto"/>
                <w:b/>
                <w:bCs/>
                <w:color w:val="FFFFFF"/>
                <w:sz w:val="19"/>
                <w:szCs w:val="19"/>
              </w:rPr>
              <w:t xml:space="preserve">Phase</w:t>
            </w:r>
          </w:p>
        </w:tc>
        <w:tc>
          <w:tcPr>
            <w:tcW w:type="dxa" w:w="1500"/>
            <w:shd w:fill="004976" w:val="clear"/>
            <w:tcMar>
              <w:top w:type="dxa" w:w="90"/>
              <w:left w:type="dxa" w:w="130"/>
              <w:bottom w:type="dxa" w:w="90"/>
              <w:right w:type="dxa" w:w="130"/>
            </w:tcMar>
          </w:tcPr>
          <w:p>
            <w:r>
              <w:rPr>
                <w:rFonts w:ascii="Roboto" w:cs="Roboto" w:eastAsia="Roboto" w:hAnsi="Roboto"/>
                <w:b/>
                <w:bCs/>
                <w:color w:val="FFFFFF"/>
                <w:sz w:val="19"/>
                <w:szCs w:val="19"/>
              </w:rPr>
              <w:t xml:space="preserve">Mode</w:t>
            </w:r>
          </w:p>
        </w:tc>
        <w:tc>
          <w:tcPr>
            <w:tcW w:type="dxa" w:w="1200"/>
            <w:shd w:fill="004976" w:val="clear"/>
            <w:tcMar>
              <w:top w:type="dxa" w:w="90"/>
              <w:left w:type="dxa" w:w="130"/>
              <w:bottom w:type="dxa" w:w="90"/>
              <w:right w:type="dxa" w:w="130"/>
            </w:tcMar>
          </w:tcPr>
          <w:p>
            <w:r>
              <w:rPr>
                <w:rFonts w:ascii="Roboto" w:cs="Roboto" w:eastAsia="Roboto" w:hAnsi="Roboto"/>
                <w:b/>
                <w:bCs/>
                <w:color w:val="FFFFFF"/>
                <w:sz w:val="19"/>
                <w:szCs w:val="19"/>
              </w:rPr>
              <w:t xml:space="preserve">Time</w:t>
            </w:r>
          </w:p>
        </w:tc>
        <w:tc>
          <w:tcPr>
            <w:tcW w:type="dxa" w:w="4706"/>
            <w:shd w:fill="004976" w:val="clear"/>
            <w:tcMar>
              <w:top w:type="dxa" w:w="90"/>
              <w:left w:type="dxa" w:w="130"/>
              <w:bottom w:type="dxa" w:w="90"/>
              <w:right w:type="dxa" w:w="130"/>
            </w:tcMar>
          </w:tcPr>
          <w:p>
            <w:r>
              <w:rPr>
                <w:rFonts w:ascii="Roboto" w:cs="Roboto" w:eastAsia="Roboto" w:hAnsi="Roboto"/>
                <w:b/>
                <w:bCs/>
                <w:color w:val="FFFFFF"/>
                <w:sz w:val="19"/>
                <w:szCs w:val="19"/>
              </w:rPr>
              <w:t xml:space="preserve">What happens</w:t>
            </w:r>
          </w:p>
        </w:tc>
      </w:tr>
      <w:tr>
        <w:tc>
          <w:tcPr>
            <w:tcW w:type="dxa" w:w="2100"/>
            <w:shd w:fill="FFFFFF" w:val="clear"/>
            <w:tcMar>
              <w:top w:type="dxa" w:w="90"/>
              <w:left w:type="dxa" w:w="130"/>
              <w:bottom w:type="dxa" w:w="90"/>
              <w:right w:type="dxa" w:w="130"/>
            </w:tcMar>
          </w:tcPr>
          <w:p>
            <w:r>
              <w:rPr>
                <w:rFonts w:ascii="Roboto" w:cs="Roboto" w:eastAsia="Roboto" w:hAnsi="Roboto"/>
                <w:b/>
                <w:bCs/>
                <w:color w:val="041E42"/>
                <w:sz w:val="20"/>
                <w:szCs w:val="20"/>
              </w:rPr>
              <w:t xml:space="preserve">Pre-work</w:t>
            </w:r>
          </w:p>
        </w:tc>
        <w:tc>
          <w:tcPr>
            <w:tcW w:type="dxa" w:w="1500"/>
            <w:shd w:fill="FFFFFF" w:val="clear"/>
            <w:tcMar>
              <w:top w:type="dxa" w:w="90"/>
              <w:left w:type="dxa" w:w="130"/>
              <w:bottom w:type="dxa" w:w="90"/>
              <w:right w:type="dxa" w:w="130"/>
            </w:tcMar>
          </w:tcPr>
          <w:p>
            <w:r>
              <w:rPr>
                <w:rFonts w:ascii="Lato" w:cs="Lato" w:eastAsia="Lato" w:hAnsi="Lato"/>
                <w:color w:val="041E42"/>
                <w:sz w:val="20"/>
                <w:szCs w:val="20"/>
              </w:rPr>
              <w:t xml:space="preserve">Independent</w:t>
            </w:r>
          </w:p>
        </w:tc>
        <w:tc>
          <w:tcPr>
            <w:tcW w:type="dxa" w:w="1200"/>
            <w:shd w:fill="FFFFFF" w:val="clear"/>
            <w:tcMar>
              <w:top w:type="dxa" w:w="90"/>
              <w:left w:type="dxa" w:w="130"/>
              <w:bottom w:type="dxa" w:w="90"/>
              <w:right w:type="dxa" w:w="130"/>
            </w:tcMar>
          </w:tcPr>
          <w:p>
            <w:r>
              <w:rPr>
                <w:rFonts w:ascii="Lato" w:cs="Lato" w:eastAsia="Lato" w:hAnsi="Lato"/>
                <w:color w:val="041E42"/>
                <w:sz w:val="20"/>
                <w:szCs w:val="20"/>
              </w:rPr>
              <w:t xml:space="preserve">~1 hr</w:t>
            </w:r>
          </w:p>
        </w:tc>
        <w:tc>
          <w:tcPr>
            <w:tcW w:type="dxa" w:w="4706"/>
            <w:shd w:fill="FFFFFF" w:val="clear"/>
            <w:tcMar>
              <w:top w:type="dxa" w:w="90"/>
              <w:left w:type="dxa" w:w="130"/>
              <w:bottom w:type="dxa" w:w="90"/>
              <w:right w:type="dxa" w:w="130"/>
            </w:tcMar>
          </w:tcPr>
          <w:p>
            <w:r>
              <w:rPr>
                <w:rFonts w:ascii="Lato" w:cs="Lato" w:eastAsia="Lato" w:hAnsi="Lato"/>
                <w:color w:val="041E42"/>
                <w:sz w:val="20"/>
                <w:szCs w:val="20"/>
              </w:rPr>
              <w:t xml:space="preserve">Participants read the Workbook and one worked case. You prepare your materials and the case draw.</w:t>
            </w:r>
          </w:p>
        </w:tc>
      </w:tr>
      <w:tr>
        <w:tc>
          <w:tcPr>
            <w:tcW w:type="dxa" w:w="2100"/>
            <w:shd w:fill="FFFFFF" w:val="clear"/>
            <w:tcMar>
              <w:top w:type="dxa" w:w="90"/>
              <w:left w:type="dxa" w:w="130"/>
              <w:bottom w:type="dxa" w:w="90"/>
              <w:right w:type="dxa" w:w="130"/>
            </w:tcMar>
          </w:tcPr>
          <w:p>
            <w:r>
              <w:rPr>
                <w:rFonts w:ascii="Roboto" w:cs="Roboto" w:eastAsia="Roboto" w:hAnsi="Roboto"/>
                <w:b/>
                <w:bCs/>
                <w:color w:val="041E42"/>
                <w:sz w:val="20"/>
                <w:szCs w:val="20"/>
              </w:rPr>
              <w:t xml:space="preserve">Session 1</w:t>
            </w:r>
          </w:p>
        </w:tc>
        <w:tc>
          <w:tcPr>
            <w:tcW w:type="dxa" w:w="1500"/>
            <w:shd w:fill="FFFFFF" w:val="clear"/>
            <w:tcMar>
              <w:top w:type="dxa" w:w="90"/>
              <w:left w:type="dxa" w:w="130"/>
              <w:bottom w:type="dxa" w:w="90"/>
              <w:right w:type="dxa" w:w="130"/>
            </w:tcMar>
          </w:tcPr>
          <w:p>
            <w:r>
              <w:rPr>
                <w:rFonts w:ascii="Lato" w:cs="Lato" w:eastAsia="Lato" w:hAnsi="Lato"/>
                <w:color w:val="041E42"/>
                <w:sz w:val="20"/>
                <w:szCs w:val="20"/>
              </w:rPr>
              <w:t xml:space="preserve">Synchronous</w:t>
            </w:r>
          </w:p>
        </w:tc>
        <w:tc>
          <w:tcPr>
            <w:tcW w:type="dxa" w:w="1200"/>
            <w:shd w:fill="FFFFFF" w:val="clear"/>
            <w:tcMar>
              <w:top w:type="dxa" w:w="90"/>
              <w:left w:type="dxa" w:w="130"/>
              <w:bottom w:type="dxa" w:w="90"/>
              <w:right w:type="dxa" w:w="130"/>
            </w:tcMar>
          </w:tcPr>
          <w:p>
            <w:r>
              <w:rPr>
                <w:rFonts w:ascii="Lato" w:cs="Lato" w:eastAsia="Lato" w:hAnsi="Lato"/>
                <w:color w:val="041E42"/>
                <w:sz w:val="20"/>
                <w:szCs w:val="20"/>
              </w:rPr>
              <w:t xml:space="preserve">2 hrs</w:t>
            </w:r>
          </w:p>
        </w:tc>
        <w:tc>
          <w:tcPr>
            <w:tcW w:type="dxa" w:w="4706"/>
            <w:shd w:fill="FFFFFF" w:val="clear"/>
            <w:tcMar>
              <w:top w:type="dxa" w:w="90"/>
              <w:left w:type="dxa" w:w="130"/>
              <w:bottom w:type="dxa" w:w="90"/>
              <w:right w:type="dxa" w:w="130"/>
            </w:tcMar>
          </w:tcPr>
          <w:p>
            <w:r>
              <w:rPr>
                <w:rFonts w:ascii="Lato" w:cs="Lato" w:eastAsia="Lato" w:hAnsi="Lato"/>
                <w:color w:val="041E42"/>
                <w:sz w:val="20"/>
                <w:szCs w:val="20"/>
              </w:rPr>
              <w:t xml:space="preserve">The scale and what counts as evidence. You model a judgement, then the group practises.</w:t>
            </w:r>
          </w:p>
        </w:tc>
      </w:tr>
      <w:tr>
        <w:tc>
          <w:tcPr>
            <w:tcW w:type="dxa" w:w="2100"/>
            <w:shd w:fill="FFFFFF" w:val="clear"/>
            <w:tcMar>
              <w:top w:type="dxa" w:w="90"/>
              <w:left w:type="dxa" w:w="130"/>
              <w:bottom w:type="dxa" w:w="90"/>
              <w:right w:type="dxa" w:w="130"/>
            </w:tcMar>
          </w:tcPr>
          <w:p>
            <w:r>
              <w:rPr>
                <w:rFonts w:ascii="Roboto" w:cs="Roboto" w:eastAsia="Roboto" w:hAnsi="Roboto"/>
                <w:b/>
                <w:bCs/>
                <w:color w:val="041E42"/>
                <w:sz w:val="20"/>
                <w:szCs w:val="20"/>
              </w:rPr>
              <w:t xml:space="preserve">Independent 1</w:t>
            </w:r>
          </w:p>
        </w:tc>
        <w:tc>
          <w:tcPr>
            <w:tcW w:type="dxa" w:w="1500"/>
            <w:shd w:fill="FFFFFF" w:val="clear"/>
            <w:tcMar>
              <w:top w:type="dxa" w:w="90"/>
              <w:left w:type="dxa" w:w="130"/>
              <w:bottom w:type="dxa" w:w="90"/>
              <w:right w:type="dxa" w:w="130"/>
            </w:tcMar>
          </w:tcPr>
          <w:p>
            <w:r>
              <w:rPr>
                <w:rFonts w:ascii="Lato" w:cs="Lato" w:eastAsia="Lato" w:hAnsi="Lato"/>
                <w:color w:val="041E42"/>
                <w:sz w:val="20"/>
                <w:szCs w:val="20"/>
              </w:rPr>
              <w:t xml:space="preserve">Independent</w:t>
            </w:r>
          </w:p>
        </w:tc>
        <w:tc>
          <w:tcPr>
            <w:tcW w:type="dxa" w:w="1200"/>
            <w:shd w:fill="FFFFFF" w:val="clear"/>
            <w:tcMar>
              <w:top w:type="dxa" w:w="90"/>
              <w:left w:type="dxa" w:w="130"/>
              <w:bottom w:type="dxa" w:w="90"/>
              <w:right w:type="dxa" w:w="130"/>
            </w:tcMar>
          </w:tcPr>
          <w:p>
            <w:r>
              <w:rPr>
                <w:rFonts w:ascii="Lato" w:cs="Lato" w:eastAsia="Lato" w:hAnsi="Lato"/>
                <w:color w:val="041E42"/>
                <w:sz w:val="20"/>
                <w:szCs w:val="20"/>
              </w:rPr>
              <w:t xml:space="preserve">~1.5 to 2 hrs</w:t>
            </w:r>
          </w:p>
        </w:tc>
        <w:tc>
          <w:tcPr>
            <w:tcW w:type="dxa" w:w="4706"/>
            <w:shd w:fill="FFFFFF" w:val="clear"/>
            <w:tcMar>
              <w:top w:type="dxa" w:w="90"/>
              <w:left w:type="dxa" w:w="130"/>
              <w:bottom w:type="dxa" w:w="90"/>
              <w:right w:type="dxa" w:w="130"/>
            </w:tcMar>
          </w:tcPr>
          <w:p>
            <w:r>
              <w:rPr>
                <w:rFonts w:ascii="Lato" w:cs="Lato" w:eastAsia="Lato" w:hAnsi="Lato"/>
                <w:color w:val="041E42"/>
                <w:sz w:val="20"/>
                <w:szCs w:val="20"/>
              </w:rPr>
              <w:t xml:space="preserve">Participants judge the practice cases and check themselves against the moderated decisions.</w:t>
            </w:r>
          </w:p>
        </w:tc>
      </w:tr>
      <w:tr>
        <w:tc>
          <w:tcPr>
            <w:tcW w:type="dxa" w:w="2100"/>
            <w:shd w:fill="FFFFFF" w:val="clear"/>
            <w:tcMar>
              <w:top w:type="dxa" w:w="90"/>
              <w:left w:type="dxa" w:w="130"/>
              <w:bottom w:type="dxa" w:w="90"/>
              <w:right w:type="dxa" w:w="130"/>
            </w:tcMar>
          </w:tcPr>
          <w:p>
            <w:r>
              <w:rPr>
                <w:rFonts w:ascii="Roboto" w:cs="Roboto" w:eastAsia="Roboto" w:hAnsi="Roboto"/>
                <w:b/>
                <w:bCs/>
                <w:color w:val="041E42"/>
                <w:sz w:val="20"/>
                <w:szCs w:val="20"/>
              </w:rPr>
              <w:t xml:space="preserve">Session 2</w:t>
            </w:r>
          </w:p>
        </w:tc>
        <w:tc>
          <w:tcPr>
            <w:tcW w:type="dxa" w:w="1500"/>
            <w:shd w:fill="FFFFFF" w:val="clear"/>
            <w:tcMar>
              <w:top w:type="dxa" w:w="90"/>
              <w:left w:type="dxa" w:w="130"/>
              <w:bottom w:type="dxa" w:w="90"/>
              <w:right w:type="dxa" w:w="130"/>
            </w:tcMar>
          </w:tcPr>
          <w:p>
            <w:r>
              <w:rPr>
                <w:rFonts w:ascii="Lato" w:cs="Lato" w:eastAsia="Lato" w:hAnsi="Lato"/>
                <w:color w:val="041E42"/>
                <w:sz w:val="20"/>
                <w:szCs w:val="20"/>
              </w:rPr>
              <w:t xml:space="preserve">Synchronous</w:t>
            </w:r>
          </w:p>
        </w:tc>
        <w:tc>
          <w:tcPr>
            <w:tcW w:type="dxa" w:w="1200"/>
            <w:shd w:fill="FFFFFF" w:val="clear"/>
            <w:tcMar>
              <w:top w:type="dxa" w:w="90"/>
              <w:left w:type="dxa" w:w="130"/>
              <w:bottom w:type="dxa" w:w="90"/>
              <w:right w:type="dxa" w:w="130"/>
            </w:tcMar>
          </w:tcPr>
          <w:p>
            <w:r>
              <w:rPr>
                <w:rFonts w:ascii="Lato" w:cs="Lato" w:eastAsia="Lato" w:hAnsi="Lato"/>
                <w:color w:val="041E42"/>
                <w:sz w:val="20"/>
                <w:szCs w:val="20"/>
              </w:rPr>
              <w:t xml:space="preserve">2 hrs</w:t>
            </w:r>
          </w:p>
        </w:tc>
        <w:tc>
          <w:tcPr>
            <w:tcW w:type="dxa" w:w="4706"/>
            <w:shd w:fill="FFFFFF" w:val="clear"/>
            <w:tcMar>
              <w:top w:type="dxa" w:w="90"/>
              <w:left w:type="dxa" w:w="130"/>
              <w:bottom w:type="dxa" w:w="90"/>
              <w:right w:type="dxa" w:w="130"/>
            </w:tcMar>
          </w:tcPr>
          <w:p>
            <w:r>
              <w:rPr>
                <w:rFonts w:ascii="Lato" w:cs="Lato" w:eastAsia="Lato" w:hAnsi="Lato"/>
                <w:color w:val="041E42"/>
                <w:sz w:val="20"/>
                <w:szCs w:val="20"/>
              </w:rPr>
              <w:t xml:space="preserve">Calibration and moderation practice.</w:t>
            </w:r>
          </w:p>
        </w:tc>
      </w:tr>
      <w:tr>
        <w:tc>
          <w:tcPr>
            <w:tcW w:type="dxa" w:w="2100"/>
            <w:shd w:fill="FFFFFF" w:val="clear"/>
            <w:tcMar>
              <w:top w:type="dxa" w:w="90"/>
              <w:left w:type="dxa" w:w="130"/>
              <w:bottom w:type="dxa" w:w="90"/>
              <w:right w:type="dxa" w:w="130"/>
            </w:tcMar>
          </w:tcPr>
          <w:p>
            <w:r>
              <w:rPr>
                <w:rFonts w:ascii="Roboto" w:cs="Roboto" w:eastAsia="Roboto" w:hAnsi="Roboto"/>
                <w:b/>
                <w:bCs/>
                <w:color w:val="041E42"/>
                <w:sz w:val="20"/>
                <w:szCs w:val="20"/>
              </w:rPr>
              <w:t xml:space="preserve">Assessment</w:t>
            </w:r>
          </w:p>
        </w:tc>
        <w:tc>
          <w:tcPr>
            <w:tcW w:type="dxa" w:w="1500"/>
            <w:shd w:fill="FFFFFF" w:val="clear"/>
            <w:tcMar>
              <w:top w:type="dxa" w:w="90"/>
              <w:left w:type="dxa" w:w="130"/>
              <w:bottom w:type="dxa" w:w="90"/>
              <w:right w:type="dxa" w:w="130"/>
            </w:tcMar>
          </w:tcPr>
          <w:p>
            <w:r>
              <w:rPr>
                <w:rFonts w:ascii="Lato" w:cs="Lato" w:eastAsia="Lato" w:hAnsi="Lato"/>
                <w:color w:val="041E42"/>
                <w:sz w:val="20"/>
                <w:szCs w:val="20"/>
              </w:rPr>
              <w:t xml:space="preserve">Independent</w:t>
            </w:r>
          </w:p>
        </w:tc>
        <w:tc>
          <w:tcPr>
            <w:tcW w:type="dxa" w:w="1200"/>
            <w:shd w:fill="FFFFFF" w:val="clear"/>
            <w:tcMar>
              <w:top w:type="dxa" w:w="90"/>
              <w:left w:type="dxa" w:w="130"/>
              <w:bottom w:type="dxa" w:w="90"/>
              <w:right w:type="dxa" w:w="130"/>
            </w:tcMar>
          </w:tcPr>
          <w:p>
            <w:r>
              <w:rPr>
                <w:rFonts w:ascii="Lato" w:cs="Lato" w:eastAsia="Lato" w:hAnsi="Lato"/>
                <w:color w:val="041E42"/>
                <w:sz w:val="20"/>
                <w:szCs w:val="20"/>
              </w:rPr>
              <w:t xml:space="preserve">~1.5 to 2 hrs</w:t>
            </w:r>
          </w:p>
        </w:tc>
        <w:tc>
          <w:tcPr>
            <w:tcW w:type="dxa" w:w="4706"/>
            <w:shd w:fill="FFFFFF" w:val="clear"/>
            <w:tcMar>
              <w:top w:type="dxa" w:w="90"/>
              <w:left w:type="dxa" w:w="130"/>
              <w:bottom w:type="dxa" w:w="90"/>
              <w:right w:type="dxa" w:w="130"/>
            </w:tcMar>
          </w:tcPr>
          <w:p>
            <w:r>
              <w:rPr>
                <w:rFonts w:ascii="Lato" w:cs="Lato" w:eastAsia="Lato" w:hAnsi="Lato"/>
                <w:color w:val="041E42"/>
                <w:sz w:val="20"/>
                <w:szCs w:val="20"/>
              </w:rPr>
              <w:t xml:space="preserve">Participants judge the assessment set, write a moderation-prep note, and submit.</w:t>
            </w:r>
          </w:p>
        </w:tc>
      </w:tr>
    </w:tbl>
    <w:p>
      <w:pPr>
        <w:spacing w:after="120"/>
      </w:pP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the case draw</w:t>
            </w:r>
          </w:p>
          <w:p>
            <w:pPr>
              <w:spacing w:after="100" w:line="276"/>
            </w:pPr>
            <w:r>
              <w:rPr>
                <w:rFonts w:ascii="Lato" w:cs="Lato" w:eastAsia="Lato" w:hAnsi="Lato"/>
                <w:b w:val="false"/>
                <w:bCs w:val="false"/>
                <w:i w:val="false"/>
                <w:iCs w:val="false"/>
                <w:color w:val="041E42"/>
                <w:sz w:val="21"/>
                <w:szCs w:val="21"/>
              </w:rPr>
              <w:t xml:space="preserve">The bank holds fifteen assessment cases: three at each level, across three competencies. For each participant’s assessment, draw ten. Take one case at every level first, so the whole scale including no level awarded is always tested, then draw the remaining five at random across the levels. Because the per-level counts above the guaranteed one vary and are unknown to the participant, no one can place the hard cases by working out how many of each level there must be.</w:t>
            </w:r>
          </w:p>
          <w:p>
            <w:pPr>
              <w:spacing w:after="0" w:line="276"/>
            </w:pPr>
            <w:r>
              <w:rPr>
                <w:rFonts w:ascii="Lato" w:cs="Lato" w:eastAsia="Lato" w:hAnsi="Lato"/>
                <w:b w:val="false"/>
                <w:bCs w:val="false"/>
                <w:i w:val="false"/>
                <w:iCs w:val="false"/>
                <w:color w:val="041E42"/>
                <w:sz w:val="21"/>
                <w:szCs w:val="21"/>
              </w:rPr>
              <w:t xml:space="preserve">Keep the cases a participant is assessed on separate from the ones they practised on. Use the dedicated practice cases and the worked case in the Workbook for Session 1 and Independent Work 1; hold the drawn assessment set back for the assessment itself. Rotate which cases you draw between cohorts so the set does not leak over time.</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Pre-work</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Before Session 1  ·  your checklist</w:t>
            </w:r>
          </w:p>
          <w:p>
            <w:pPr>
              <w:spacing w:after="110" w:line="276"/>
            </w:pPr>
            <w:r>
              <w:rPr>
                <w:rFonts w:ascii="Lato" w:cs="Lato" w:eastAsia="Lato" w:hAnsi="Lato"/>
                <w:b/>
                <w:bCs/>
                <w:color w:val="004976"/>
                <w:sz w:val="21"/>
                <w:szCs w:val="21"/>
              </w:rPr>
              <w:t xml:space="preserve">Read  </w:t>
            </w:r>
            <w:r>
              <w:rPr>
                <w:rFonts w:ascii="Lato" w:cs="Lato" w:eastAsia="Lato" w:hAnsi="Lato"/>
                <w:color w:val="041E42"/>
                <w:sz w:val="21"/>
                <w:szCs w:val="21"/>
              </w:rPr>
              <w:t xml:space="preserve">the Workbook, the Participant Guide, and this guide in full.</w:t>
            </w:r>
          </w:p>
          <w:p>
            <w:pPr>
              <w:spacing w:after="110" w:line="276"/>
            </w:pPr>
            <w:r>
              <w:rPr>
                <w:rFonts w:ascii="Lato" w:cs="Lato" w:eastAsia="Lato" w:hAnsi="Lato"/>
                <w:b/>
                <w:bCs/>
                <w:color w:val="004976"/>
                <w:sz w:val="21"/>
                <w:szCs w:val="21"/>
              </w:rPr>
              <w:t xml:space="preserve">Judge the cases yourself.  </w:t>
            </w:r>
            <w:r>
              <w:rPr>
                <w:rFonts w:ascii="Lato" w:cs="Lato" w:eastAsia="Lato" w:hAnsi="Lato"/>
                <w:color w:val="041E42"/>
                <w:sz w:val="21"/>
                <w:szCs w:val="21"/>
              </w:rPr>
              <w:t xml:space="preserve">Work through all fifteen cases in the trainer edition and read each moderated decision and its reasoning, so you can run calibration confidently.</w:t>
            </w:r>
          </w:p>
          <w:p>
            <w:pPr>
              <w:spacing w:after="0" w:line="276"/>
            </w:pPr>
            <w:r>
              <w:rPr>
                <w:rFonts w:ascii="Lato" w:cs="Lato" w:eastAsia="Lato" w:hAnsi="Lato"/>
                <w:b/>
                <w:bCs/>
                <w:color w:val="004976"/>
                <w:sz w:val="21"/>
                <w:szCs w:val="21"/>
              </w:rPr>
              <w:t xml:space="preserve">Prepare the materials.  </w:t>
            </w:r>
            <w:r>
              <w:rPr>
                <w:rFonts w:ascii="Lato" w:cs="Lato" w:eastAsia="Lato" w:hAnsi="Lato"/>
                <w:color w:val="041E42"/>
                <w:sz w:val="21"/>
                <w:szCs w:val="21"/>
              </w:rPr>
              <w:t xml:space="preserve">Ready your practice cases for Session 1 and Independent Work 1, and make the assessment draw for each participant. Send participants the Workbook and Participant Guide.</w:t>
            </w:r>
          </w:p>
        </w:tc>
      </w:tr>
    </w:tbl>
    <w:p>
      <w:pPr>
        <w:spacing w:after="12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Pre-work tasks for participants</w:t>
            </w:r>
          </w:p>
          <w:p>
            <w:pPr>
              <w:spacing w:after="110" w:line="276"/>
            </w:pPr>
            <w:r>
              <w:rPr>
                <w:rFonts w:ascii="Lato" w:cs="Lato" w:eastAsia="Lato" w:hAnsi="Lato"/>
                <w:b/>
                <w:bCs/>
                <w:color w:val="004976"/>
                <w:sz w:val="21"/>
                <w:szCs w:val="21"/>
              </w:rPr>
              <w:t xml:space="preserve">Read the Workbook  </w:t>
            </w:r>
            <w:r>
              <w:rPr>
                <w:rFonts w:ascii="Lato" w:cs="Lato" w:eastAsia="Lato" w:hAnsi="Lato"/>
                <w:color w:val="041E42"/>
                <w:sz w:val="21"/>
                <w:szCs w:val="21"/>
              </w:rPr>
              <w:t xml:space="preserve">the framework, the proficiency scale, and how assessment works, giving most attention to the five levels.</w:t>
            </w:r>
          </w:p>
          <w:p>
            <w:pPr>
              <w:spacing w:after="0" w:line="276"/>
            </w:pPr>
            <w:r>
              <w:rPr>
                <w:rFonts w:ascii="Lato" w:cs="Lato" w:eastAsia="Lato" w:hAnsi="Lato"/>
                <w:b/>
                <w:bCs/>
                <w:color w:val="004976"/>
                <w:sz w:val="21"/>
                <w:szCs w:val="21"/>
              </w:rPr>
              <w:t xml:space="preserve">Read the worked case  </w:t>
            </w:r>
            <w:r>
              <w:rPr>
                <w:rFonts w:ascii="Lato" w:cs="Lato" w:eastAsia="Lato" w:hAnsi="Lato"/>
                <w:color w:val="041E42"/>
                <w:sz w:val="21"/>
                <w:szCs w:val="21"/>
              </w:rPr>
              <w:t xml:space="preserve">in the Workbook, noticing how its level is decided from what the evidence shows rather than from anything that labels it.</w:t>
            </w:r>
          </w:p>
        </w:tc>
      </w:tr>
    </w:tbl>
    <w:p>
      <w:pPr>
        <w:spacing w:after="120"/>
      </w:pP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checking pre-work</w:t>
            </w:r>
          </w:p>
          <w:p>
            <w:pPr>
              <w:spacing w:after="0" w:line="276"/>
            </w:pPr>
            <w:r>
              <w:rPr>
                <w:rFonts w:ascii="Lato" w:cs="Lato" w:eastAsia="Lato" w:hAnsi="Lato"/>
                <w:b w:val="false"/>
                <w:bCs w:val="false"/>
                <w:i w:val="false"/>
                <w:iCs w:val="false"/>
                <w:color w:val="041E42"/>
                <w:sz w:val="21"/>
                <w:szCs w:val="21"/>
              </w:rPr>
              <w:t xml:space="preserve">Open Session 1 by gauging who has read the scale. If several have not, spend a few extra minutes on the ladder before moving to practice, rather than assuming shared ground that is not there.</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Session 1  ·  The scale and the evidence</w:t>
      </w:r>
    </w:p>
    <w:p>
      <w:pPr>
        <w:spacing w:after="140" w:line="276"/>
      </w:pPr>
      <w:r>
        <w:rPr>
          <w:rFonts w:ascii="Lato" w:cs="Lato" w:eastAsia="Lato" w:hAnsi="Lato"/>
          <w:b w:val="false"/>
          <w:bCs w:val="false"/>
          <w:i w:val="false"/>
          <w:iCs w:val="false"/>
          <w:color w:val="041E42"/>
          <w:sz w:val="21"/>
          <w:szCs w:val="21"/>
        </w:rPr>
        <w:t xml:space="preserve">Purpose: participants leave able to place a judgement on the scale and to reason from evidence to a level. This session is where the ladder is taught and first practised.</w:t>
      </w:r>
    </w:p>
    <w:p>
      <w:pPr>
        <w:spacing w:after="80" w:line="276"/>
      </w:pPr>
      <w:r>
        <w:rPr>
          <w:rFonts w:ascii="Lato" w:cs="Lato" w:eastAsia="Lato" w:hAnsi="Lato"/>
          <w:b/>
          <w:bCs/>
          <w:i w:val="false"/>
          <w:iCs w:val="false"/>
          <w:color w:val="041E42"/>
          <w:sz w:val="21"/>
          <w:szCs w:val="21"/>
        </w:rPr>
        <w:t xml:space="preserve">Suggested agenda</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1500"/>
        <w:gridCol w:w="8006"/>
      </w:tblGrid>
      <w:tr>
        <w:tc>
          <w:tcPr>
            <w:tcW w:type="dxa" w:w="1500"/>
            <w:shd w:fill="004976" w:val="clear"/>
            <w:tcMar>
              <w:top w:type="dxa" w:w="90"/>
              <w:left w:type="dxa" w:w="130"/>
              <w:bottom w:type="dxa" w:w="90"/>
              <w:right w:type="dxa" w:w="130"/>
            </w:tcMar>
          </w:tcPr>
          <w:p>
            <w:r>
              <w:rPr>
                <w:rFonts w:ascii="Roboto" w:cs="Roboto" w:eastAsia="Roboto" w:hAnsi="Roboto"/>
                <w:b/>
                <w:bCs/>
                <w:color w:val="FFFFFF"/>
                <w:sz w:val="19"/>
                <w:szCs w:val="19"/>
              </w:rPr>
              <w:t xml:space="preserve">Time</w:t>
            </w:r>
          </w:p>
        </w:tc>
        <w:tc>
          <w:tcPr>
            <w:tcW w:type="dxa" w:w="8006"/>
            <w:shd w:fill="004976" w:val="clear"/>
            <w:tcMar>
              <w:top w:type="dxa" w:w="90"/>
              <w:left w:type="dxa" w:w="130"/>
              <w:bottom w:type="dxa" w:w="90"/>
              <w:right w:type="dxa" w:w="130"/>
            </w:tcMar>
          </w:tcPr>
          <w:p>
            <w:r>
              <w:rPr>
                <w:rFonts w:ascii="Roboto" w:cs="Roboto" w:eastAsia="Roboto" w:hAnsi="Roboto"/>
                <w:b/>
                <w:bCs/>
                <w:color w:val="FFFFFF"/>
                <w:sz w:val="19"/>
                <w:szCs w:val="19"/>
              </w:rPr>
              <w:t xml:space="preserve">What happens</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0:00 to 0:10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Welcome and orientation. What the module is for and how it runs.</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0:10 to 0:40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The proficiency scale, level by level, and what separates each level from the one below. Give most time to the credit line and to no level awarded.</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0:40 to 1:05</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What counts as evidence, its sources, and how the same evidence is weighed against the goal a competency names.</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1:05 to 1:30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You model a judgement on a worked case, thinking aloud from evidence to descriptor to level.</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1:30 to 1:55</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Guided practice: the group judges one or two cases, then compares where they agree and differ.</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1:55 to 2:00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Brief for Independent Work 1.</w:t>
            </w:r>
          </w:p>
        </w:tc>
      </w:tr>
    </w:tbl>
    <w:p>
      <w:pPr>
        <w:spacing w:after="12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Facilitation notes</w:t>
            </w:r>
          </w:p>
          <w:p>
            <w:pPr>
              <w:spacing w:after="110" w:line="276"/>
            </w:pPr>
            <w:r>
              <w:rPr>
                <w:rFonts w:ascii="Lato" w:cs="Lato" w:eastAsia="Lato" w:hAnsi="Lato"/>
                <w:b/>
                <w:bCs/>
                <w:color w:val="004976"/>
                <w:sz w:val="21"/>
                <w:szCs w:val="21"/>
              </w:rPr>
              <w:t xml:space="preserve">Teach the ladder as distinctions, not definitions.  </w:t>
            </w:r>
            <w:r>
              <w:rPr>
                <w:rFonts w:ascii="Lato" w:cs="Lato" w:eastAsia="Lato" w:hAnsi="Lato"/>
                <w:color w:val="041E42"/>
                <w:sz w:val="21"/>
                <w:szCs w:val="21"/>
              </w:rPr>
              <w:t xml:space="preserve">The question participants must always be able to answer is what separates this level from the one below: a rationale (No Level to Theorist), an attempt (Theorist to Practitioner), achievement plus evidenced reflection (Practitioner to Reflective), and a second scenario with improvement over time (Reflective to Expert).</w:t>
            </w:r>
          </w:p>
          <w:p>
            <w:pPr>
              <w:spacing w:after="110" w:line="276"/>
            </w:pPr>
            <w:r>
              <w:rPr>
                <w:rFonts w:ascii="Lato" w:cs="Lato" w:eastAsia="Lato" w:hAnsi="Lato"/>
                <w:b/>
                <w:bCs/>
                <w:color w:val="004976"/>
                <w:sz w:val="21"/>
                <w:szCs w:val="21"/>
              </w:rPr>
              <w:t xml:space="preserve">Hold the credit line and no level awarded.  </w:t>
            </w:r>
            <w:r>
              <w:rPr>
                <w:rFonts w:ascii="Lato" w:cs="Lato" w:eastAsia="Lato" w:hAnsi="Lato"/>
                <w:color w:val="041E42"/>
                <w:sz w:val="21"/>
                <w:szCs w:val="21"/>
              </w:rPr>
              <w:t xml:space="preserve">These are where judgements go wrong most. An attempt, not a good plan, earns credit. No level awarded describes evidence with no rationale in it, and is not the same as a quiet learner.</w:t>
            </w:r>
          </w:p>
          <w:p>
            <w:pPr>
              <w:spacing w:after="110" w:line="276"/>
            </w:pPr>
            <w:r>
              <w:rPr>
                <w:rFonts w:ascii="Lato" w:cs="Lato" w:eastAsia="Lato" w:hAnsi="Lato"/>
                <w:b/>
                <w:bCs/>
                <w:color w:val="004976"/>
                <w:sz w:val="21"/>
                <w:szCs w:val="21"/>
              </w:rPr>
              <w:t xml:space="preserve">Make the hidden signals explicit.  </w:t>
            </w:r>
            <w:r>
              <w:rPr>
                <w:rFonts w:ascii="Lato" w:cs="Lato" w:eastAsia="Lato" w:hAnsi="Lato"/>
                <w:color w:val="041E42"/>
                <w:sz w:val="21"/>
                <w:szCs w:val="21"/>
              </w:rPr>
              <w:t xml:space="preserve">The evidence never announces itself. It will not say here is the rationale; participants have to find the rationale, the attempt, the achievement and the reflection in what the learner did and said.</w:t>
            </w:r>
          </w:p>
          <w:p>
            <w:pPr>
              <w:spacing w:after="0" w:line="276"/>
            </w:pPr>
            <w:r>
              <w:rPr>
                <w:rFonts w:ascii="Lato" w:cs="Lato" w:eastAsia="Lato" w:hAnsi="Lato"/>
                <w:b/>
                <w:bCs/>
                <w:color w:val="004976"/>
                <w:sz w:val="21"/>
                <w:szCs w:val="21"/>
              </w:rPr>
              <w:t xml:space="preserve">Model out loud.  </w:t>
            </w:r>
            <w:r>
              <w:rPr>
                <w:rFonts w:ascii="Lato" w:cs="Lato" w:eastAsia="Lato" w:hAnsi="Lato"/>
                <w:color w:val="041E42"/>
                <w:sz w:val="21"/>
                <w:szCs w:val="21"/>
              </w:rPr>
              <w:t xml:space="preserve">When you judge the worked case, narrate the move from evidence, to the descriptor it meets, to the level, and award the highest level the evidence fully supports, not the highest it hints at.</w:t>
            </w:r>
          </w:p>
        </w:tc>
      </w:tr>
    </w:tbl>
    <w:p>
      <w:pPr>
        <w:spacing w:after="12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Suggested prompts</w:t>
            </w:r>
          </w:p>
          <w:p>
            <w:pPr>
              <w:spacing w:after="80" w:line="276"/>
            </w:pPr>
            <w:r>
              <w:rPr>
                <w:rFonts w:ascii="Lato" w:cs="Lato" w:eastAsia="Lato" w:hAnsi="Lato"/>
                <w:b w:val="false"/>
                <w:bCs w:val="false"/>
                <w:i w:val="false"/>
                <w:iCs w:val="false"/>
                <w:color w:val="041E42"/>
                <w:sz w:val="21"/>
                <w:szCs w:val="21"/>
              </w:rPr>
              <w:t xml:space="preserve">Where in this evidence is the rationale? Point to the words.</w:t>
            </w:r>
          </w:p>
          <w:p>
            <w:pPr>
              <w:spacing w:after="80" w:line="276"/>
            </w:pPr>
            <w:r>
              <w:rPr>
                <w:rFonts w:ascii="Lato" w:cs="Lato" w:eastAsia="Lato" w:hAnsi="Lato"/>
                <w:b w:val="false"/>
                <w:bCs w:val="false"/>
                <w:i w:val="false"/>
                <w:iCs w:val="false"/>
                <w:color w:val="041E42"/>
                <w:sz w:val="21"/>
                <w:szCs w:val="21"/>
              </w:rPr>
              <w:t xml:space="preserve">Is that an attempt or an achievement? What would achievement look like here?</w:t>
            </w:r>
          </w:p>
          <w:p>
            <w:pPr>
              <w:spacing w:after="80" w:line="276"/>
            </w:pPr>
            <w:r>
              <w:rPr>
                <w:rFonts w:ascii="Lato" w:cs="Lato" w:eastAsia="Lato" w:hAnsi="Lato"/>
                <w:b w:val="false"/>
                <w:bCs w:val="false"/>
                <w:i w:val="false"/>
                <w:iCs w:val="false"/>
                <w:color w:val="041E42"/>
                <w:sz w:val="21"/>
                <w:szCs w:val="21"/>
              </w:rPr>
              <w:t xml:space="preserve">Is that reflection about how they went about the competency, or about the project they happened to work on?</w:t>
            </w:r>
          </w:p>
          <w:p>
            <w:pPr>
              <w:spacing w:after="0" w:line="276"/>
            </w:pPr>
            <w:r>
              <w:rPr>
                <w:rFonts w:ascii="Lato" w:cs="Lato" w:eastAsia="Lato" w:hAnsi="Lato"/>
                <w:b w:val="false"/>
                <w:bCs w:val="false"/>
                <w:i w:val="false"/>
                <w:iCs w:val="false"/>
                <w:color w:val="041E42"/>
                <w:sz w:val="21"/>
                <w:szCs w:val="21"/>
              </w:rPr>
              <w:t xml:space="preserve">What would have to be different for this to be the level above?</w:t>
            </w:r>
          </w:p>
        </w:tc>
      </w:tr>
    </w:tbl>
    <w:p>
      <w:pPr>
        <w:spacing w:after="120"/>
      </w:pP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closing brief for Independent Work 1  (1:55 to 2:00)</w:t>
            </w:r>
          </w:p>
          <w:p>
            <w:pPr>
              <w:spacing w:after="0" w:line="276"/>
            </w:pPr>
            <w:r>
              <w:rPr>
                <w:rFonts w:ascii="Lato" w:cs="Lato" w:eastAsia="Lato" w:hAnsi="Lato"/>
                <w:b w:val="false"/>
                <w:bCs w:val="false"/>
                <w:i w:val="false"/>
                <w:iCs w:val="false"/>
                <w:color w:val="041E42"/>
                <w:sz w:val="21"/>
                <w:szCs w:val="21"/>
              </w:rPr>
              <w:t xml:space="preserve">Set the practice cases. Ask participants to judge each on its own evidence, write their reasoning, then check against the moderated decisions and note any boundary they found hard to bring to Session 2.</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Independent Work 1</w:t>
      </w: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supporting independent work</w:t>
            </w:r>
          </w:p>
          <w:p>
            <w:pPr>
              <w:spacing w:after="0" w:line="276"/>
            </w:pPr>
            <w:r>
              <w:rPr>
                <w:rFonts w:ascii="Lato" w:cs="Lato" w:eastAsia="Lato" w:hAnsi="Lato"/>
                <w:b w:val="false"/>
                <w:bCs w:val="false"/>
                <w:i w:val="false"/>
                <w:iCs w:val="false"/>
                <w:color w:val="041E42"/>
                <w:sz w:val="21"/>
                <w:szCs w:val="21"/>
              </w:rPr>
              <w:t xml:space="preserve">Participants judge the practice cases in the educator edition, then self-check against the edition with decisions. Encourage them to sit with a divergence before reading the reasoning, and to write down which boundary was hardest. Their honest account of what was difficult is what makes Session 2 productive.</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Session 2  ·  Calibration and moderation</w:t>
      </w:r>
    </w:p>
    <w:p>
      <w:pPr>
        <w:spacing w:after="140" w:line="276"/>
      </w:pPr>
      <w:r>
        <w:rPr>
          <w:rFonts w:ascii="Lato" w:cs="Lato" w:eastAsia="Lato" w:hAnsi="Lato"/>
          <w:b w:val="false"/>
          <w:bCs w:val="false"/>
          <w:i w:val="false"/>
          <w:iCs w:val="false"/>
          <w:color w:val="041E42"/>
          <w:sz w:val="21"/>
          <w:szCs w:val="21"/>
        </w:rPr>
        <w:t xml:space="preserve">Purpose: participants experience moderation, learn what a defensible judgement sounds like, and see the common ways a judgement slips. This is the heart of the module.</w:t>
      </w:r>
    </w:p>
    <w:p>
      <w:pPr>
        <w:spacing w:after="80" w:line="276"/>
      </w:pPr>
      <w:r>
        <w:rPr>
          <w:rFonts w:ascii="Lato" w:cs="Lato" w:eastAsia="Lato" w:hAnsi="Lato"/>
          <w:b/>
          <w:bCs/>
          <w:i w:val="false"/>
          <w:iCs w:val="false"/>
          <w:color w:val="041E42"/>
          <w:sz w:val="21"/>
          <w:szCs w:val="21"/>
        </w:rPr>
        <w:t xml:space="preserve">Suggested agenda</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1500"/>
        <w:gridCol w:w="8006"/>
      </w:tblGrid>
      <w:tr>
        <w:tc>
          <w:tcPr>
            <w:tcW w:type="dxa" w:w="1500"/>
            <w:shd w:fill="004976" w:val="clear"/>
            <w:tcMar>
              <w:top w:type="dxa" w:w="90"/>
              <w:left w:type="dxa" w:w="130"/>
              <w:bottom w:type="dxa" w:w="90"/>
              <w:right w:type="dxa" w:w="130"/>
            </w:tcMar>
          </w:tcPr>
          <w:p>
            <w:r>
              <w:rPr>
                <w:rFonts w:ascii="Roboto" w:cs="Roboto" w:eastAsia="Roboto" w:hAnsi="Roboto"/>
                <w:b/>
                <w:bCs/>
                <w:color w:val="FFFFFF"/>
                <w:sz w:val="19"/>
                <w:szCs w:val="19"/>
              </w:rPr>
              <w:t xml:space="preserve">Time</w:t>
            </w:r>
          </w:p>
        </w:tc>
        <w:tc>
          <w:tcPr>
            <w:tcW w:type="dxa" w:w="8006"/>
            <w:shd w:fill="004976" w:val="clear"/>
            <w:tcMar>
              <w:top w:type="dxa" w:w="90"/>
              <w:left w:type="dxa" w:w="130"/>
              <w:bottom w:type="dxa" w:w="90"/>
              <w:right w:type="dxa" w:w="130"/>
            </w:tcMar>
          </w:tcPr>
          <w:p>
            <w:r>
              <w:rPr>
                <w:rFonts w:ascii="Roboto" w:cs="Roboto" w:eastAsia="Roboto" w:hAnsi="Roboto"/>
                <w:b/>
                <w:bCs/>
                <w:color w:val="FFFFFF"/>
                <w:sz w:val="19"/>
                <w:szCs w:val="19"/>
              </w:rPr>
              <w:t xml:space="preserve">What happens</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0:00 to 0:10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Recap and questions from the independent judging.</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0:10 to 1:00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Calibration in pairs and small groups: compare judgements on shared cases, defend reasoning against the evidence, work towards a shared view.</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1:00 to 1:35</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Moderation walkthrough: you run a moderation on a contested case, modelling how to defend a judgement and when to revise it.</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1:35 to 1:50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The common slips, named and worked through with examples from the group.</w:t>
            </w:r>
          </w:p>
        </w:tc>
      </w:tr>
      <w:tr>
        <w:tc>
          <w:tcPr>
            <w:tcW w:type="dxa" w:w="1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1:50 to 2:00</w:t>
            </w:r>
          </w:p>
        </w:tc>
        <w:tc>
          <w:tcPr>
            <w:tcW w:type="dxa" w:w="8006"/>
            <w:shd w:fill="FFFFFF" w:val="clear"/>
            <w:tcMar>
              <w:top w:type="dxa" w:w="90"/>
              <w:left w:type="dxa" w:w="130"/>
              <w:bottom w:type="dxa" w:w="90"/>
              <w:right w:type="dxa" w:w="130"/>
            </w:tcMar>
          </w:tcPr>
          <w:p>
            <w:r>
              <w:rPr>
                <w:rFonts w:ascii="Lato" w:cs="Lato" w:eastAsia="Lato" w:hAnsi="Lato"/>
                <w:color w:val="041E42"/>
                <w:sz w:val="20"/>
                <w:szCs w:val="20"/>
              </w:rPr>
              <w:t xml:space="preserve">Brief for the assessment.</w:t>
            </w:r>
          </w:p>
        </w:tc>
      </w:tr>
    </w:tbl>
    <w:p>
      <w:pPr>
        <w:spacing w:after="120"/>
      </w:pPr>
    </w:p>
    <w:p>
      <w:pPr>
        <w:spacing w:after="80" w:line="276"/>
      </w:pPr>
      <w:r>
        <w:rPr>
          <w:rFonts w:ascii="Lato" w:cs="Lato" w:eastAsia="Lato" w:hAnsi="Lato"/>
          <w:b/>
          <w:bCs/>
          <w:i w:val="false"/>
          <w:iCs w:val="false"/>
          <w:color w:val="041E42"/>
          <w:sz w:val="21"/>
          <w:szCs w:val="21"/>
        </w:rPr>
        <w:t xml:space="preserve">Calibration and moderation protocol</w:t>
      </w:r>
    </w:p>
    <w:p>
      <w:pPr>
        <w:spacing w:after="120" w:line="276"/>
      </w:pPr>
      <w:r>
        <w:rPr>
          <w:rFonts w:ascii="Lato" w:cs="Lato" w:eastAsia="Lato" w:hAnsi="Lato"/>
          <w:b w:val="false"/>
          <w:bCs w:val="false"/>
          <w:i w:val="false"/>
          <w:iCs w:val="false"/>
          <w:color w:val="041E42"/>
          <w:sz w:val="21"/>
          <w:szCs w:val="21"/>
        </w:rPr>
        <w:t xml:space="preserve">Use this protocol for the calibration block, and again as you model moderation. It is the same discipline participants will need when their own judgements are moderated.</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600"/>
        <w:gridCol w:w="6906"/>
      </w:tblGrid>
      <w:tr>
        <w:tc>
          <w:tcPr>
            <w:tcW w:type="dxa" w:w="2600"/>
            <w:shd w:fill="004976" w:val="clear"/>
            <w:tcMar>
              <w:top w:type="dxa" w:w="90"/>
              <w:left w:type="dxa" w:w="130"/>
              <w:bottom w:type="dxa" w:w="90"/>
              <w:right w:type="dxa" w:w="130"/>
            </w:tcMar>
          </w:tcPr>
          <w:p>
            <w:r>
              <w:rPr>
                <w:rFonts w:ascii="Roboto" w:cs="Roboto" w:eastAsia="Roboto" w:hAnsi="Roboto"/>
                <w:b/>
                <w:bCs/>
                <w:color w:val="FFFFFF"/>
                <w:sz w:val="19"/>
                <w:szCs w:val="19"/>
              </w:rPr>
              <w:t xml:space="preserve">Step</w:t>
            </w:r>
          </w:p>
        </w:tc>
        <w:tc>
          <w:tcPr>
            <w:tcW w:type="dxa" w:w="6906"/>
            <w:shd w:fill="004976" w:val="clear"/>
            <w:tcMar>
              <w:top w:type="dxa" w:w="90"/>
              <w:left w:type="dxa" w:w="130"/>
              <w:bottom w:type="dxa" w:w="90"/>
              <w:right w:type="dxa" w:w="130"/>
            </w:tcMar>
          </w:tcPr>
          <w:p>
            <w:r>
              <w:rPr>
                <w:rFonts w:ascii="Roboto" w:cs="Roboto" w:eastAsia="Roboto" w:hAnsi="Roboto"/>
                <w:b/>
                <w:bCs/>
                <w:color w:val="FFFFFF"/>
                <w:sz w:val="19"/>
                <w:szCs w:val="19"/>
              </w:rPr>
              <w:t xml:space="preserve">What happens</w:t>
            </w:r>
          </w:p>
        </w:tc>
      </w:tr>
      <w:tr>
        <w:tc>
          <w:tcPr>
            <w:tcW w:type="dxa" w:w="2600"/>
            <w:shd w:fill="FFFFFF" w:val="clear"/>
            <w:tcMar>
              <w:top w:type="dxa" w:w="90"/>
              <w:left w:type="dxa" w:w="130"/>
              <w:bottom w:type="dxa" w:w="90"/>
              <w:right w:type="dxa" w:w="130"/>
            </w:tcMar>
          </w:tcPr>
          <w:p>
            <w:r>
              <w:rPr>
                <w:rFonts w:ascii="Roboto" w:cs="Roboto" w:eastAsia="Roboto" w:hAnsi="Roboto"/>
                <w:b/>
                <w:bCs/>
                <w:color w:val="041E42"/>
                <w:sz w:val="20"/>
                <w:szCs w:val="20"/>
              </w:rPr>
              <w:t xml:space="preserve">1  ·  Judge first</w:t>
            </w:r>
          </w:p>
        </w:tc>
        <w:tc>
          <w:tcPr>
            <w:tcW w:type="dxa" w:w="6906"/>
            <w:shd w:fill="FFFFFF" w:val="clear"/>
            <w:tcMar>
              <w:top w:type="dxa" w:w="90"/>
              <w:left w:type="dxa" w:w="130"/>
              <w:bottom w:type="dxa" w:w="90"/>
              <w:right w:type="dxa" w:w="130"/>
            </w:tcMar>
          </w:tcPr>
          <w:p>
            <w:r>
              <w:rPr>
                <w:rFonts w:ascii="Lato" w:cs="Lato" w:eastAsia="Lato" w:hAnsi="Lato"/>
                <w:color w:val="041E42"/>
                <w:sz w:val="20"/>
                <w:szCs w:val="20"/>
              </w:rPr>
              <w:t xml:space="preserve">Before any discussion, each person has their own level and reasoning written down for the case.</w:t>
            </w:r>
          </w:p>
        </w:tc>
      </w:tr>
      <w:tr>
        <w:tc>
          <w:tcPr>
            <w:tcW w:type="dxa" w:w="2600"/>
            <w:shd w:fill="FFFFFF" w:val="clear"/>
            <w:tcMar>
              <w:top w:type="dxa" w:w="90"/>
              <w:left w:type="dxa" w:w="130"/>
              <w:bottom w:type="dxa" w:w="90"/>
              <w:right w:type="dxa" w:w="130"/>
            </w:tcMar>
          </w:tcPr>
          <w:p>
            <w:r>
              <w:rPr>
                <w:rFonts w:ascii="Roboto" w:cs="Roboto" w:eastAsia="Roboto" w:hAnsi="Roboto"/>
                <w:b/>
                <w:bCs/>
                <w:color w:val="041E42"/>
                <w:sz w:val="20"/>
                <w:szCs w:val="20"/>
              </w:rPr>
              <w:t xml:space="preserve">2  ·  Present  (2 min)</w:t>
            </w:r>
          </w:p>
        </w:tc>
        <w:tc>
          <w:tcPr>
            <w:tcW w:type="dxa" w:w="6906"/>
            <w:shd w:fill="FFFFFF" w:val="clear"/>
            <w:tcMar>
              <w:top w:type="dxa" w:w="90"/>
              <w:left w:type="dxa" w:w="130"/>
              <w:bottom w:type="dxa" w:w="90"/>
              <w:right w:type="dxa" w:w="130"/>
            </w:tcMar>
          </w:tcPr>
          <w:p>
            <w:r>
              <w:rPr>
                <w:rFonts w:ascii="Lato" w:cs="Lato" w:eastAsia="Lato" w:hAnsi="Lato"/>
                <w:color w:val="041E42"/>
                <w:sz w:val="20"/>
                <w:szCs w:val="20"/>
              </w:rPr>
              <w:t xml:space="preserve">One person states their level and the evidence they rest it on, nothing more.</w:t>
            </w:r>
          </w:p>
        </w:tc>
      </w:tr>
      <w:tr>
        <w:tc>
          <w:tcPr>
            <w:tcW w:type="dxa" w:w="2600"/>
            <w:shd w:fill="FFFFFF" w:val="clear"/>
            <w:tcMar>
              <w:top w:type="dxa" w:w="90"/>
              <w:left w:type="dxa" w:w="130"/>
              <w:bottom w:type="dxa" w:w="90"/>
              <w:right w:type="dxa" w:w="130"/>
            </w:tcMar>
          </w:tcPr>
          <w:p>
            <w:r>
              <w:rPr>
                <w:rFonts w:ascii="Roboto" w:cs="Roboto" w:eastAsia="Roboto" w:hAnsi="Roboto"/>
                <w:b/>
                <w:bCs/>
                <w:color w:val="041E42"/>
                <w:sz w:val="20"/>
                <w:szCs w:val="20"/>
              </w:rPr>
              <w:t xml:space="preserve">3  ·  Test against evidence  (3 min)</w:t>
            </w:r>
          </w:p>
        </w:tc>
        <w:tc>
          <w:tcPr>
            <w:tcW w:type="dxa" w:w="6906"/>
            <w:shd w:fill="FFFFFF" w:val="clear"/>
            <w:tcMar>
              <w:top w:type="dxa" w:w="90"/>
              <w:left w:type="dxa" w:w="130"/>
              <w:bottom w:type="dxa" w:w="90"/>
              <w:right w:type="dxa" w:w="130"/>
            </w:tcMar>
          </w:tcPr>
          <w:p>
            <w:r>
              <w:rPr>
                <w:rFonts w:ascii="Lato" w:cs="Lato" w:eastAsia="Lato" w:hAnsi="Lato"/>
                <w:color w:val="041E42"/>
                <w:sz w:val="20"/>
                <w:szCs w:val="20"/>
              </w:rPr>
              <w:t xml:space="preserve">The others check that reasoning against the case itself, not against their own gut feeling.</w:t>
            </w:r>
          </w:p>
        </w:tc>
      </w:tr>
      <w:tr>
        <w:tc>
          <w:tcPr>
            <w:tcW w:type="dxa" w:w="2600"/>
            <w:shd w:fill="FFFFFF" w:val="clear"/>
            <w:tcMar>
              <w:top w:type="dxa" w:w="90"/>
              <w:left w:type="dxa" w:w="130"/>
              <w:bottom w:type="dxa" w:w="90"/>
              <w:right w:type="dxa" w:w="130"/>
            </w:tcMar>
          </w:tcPr>
          <w:p>
            <w:r>
              <w:rPr>
                <w:rFonts w:ascii="Roboto" w:cs="Roboto" w:eastAsia="Roboto" w:hAnsi="Roboto"/>
                <w:b/>
                <w:bCs/>
                <w:color w:val="041E42"/>
                <w:sz w:val="20"/>
                <w:szCs w:val="20"/>
              </w:rPr>
              <w:t xml:space="preserve">4  ·  Locate the divergence  (3 min)</w:t>
            </w:r>
          </w:p>
        </w:tc>
        <w:tc>
          <w:tcPr>
            <w:tcW w:type="dxa" w:w="6906"/>
            <w:shd w:fill="FFFFFF" w:val="clear"/>
            <w:tcMar>
              <w:top w:type="dxa" w:w="90"/>
              <w:left w:type="dxa" w:w="130"/>
              <w:bottom w:type="dxa" w:w="90"/>
              <w:right w:type="dxa" w:w="130"/>
            </w:tcMar>
          </w:tcPr>
          <w:p>
            <w:r>
              <w:rPr>
                <w:rFonts w:ascii="Lato" w:cs="Lato" w:eastAsia="Lato" w:hAnsi="Lato"/>
                <w:color w:val="041E42"/>
                <w:sz w:val="20"/>
                <w:szCs w:val="20"/>
              </w:rPr>
              <w:t xml:space="preserve">Where levels differ, find the specific evidence that should decide it, and weigh it.</w:t>
            </w:r>
          </w:p>
        </w:tc>
      </w:tr>
      <w:tr>
        <w:tc>
          <w:tcPr>
            <w:tcW w:type="dxa" w:w="2600"/>
            <w:shd w:fill="FFFFFF" w:val="clear"/>
            <w:tcMar>
              <w:top w:type="dxa" w:w="90"/>
              <w:left w:type="dxa" w:w="130"/>
              <w:bottom w:type="dxa" w:w="90"/>
              <w:right w:type="dxa" w:w="130"/>
            </w:tcMar>
          </w:tcPr>
          <w:p>
            <w:r>
              <w:rPr>
                <w:rFonts w:ascii="Roboto" w:cs="Roboto" w:eastAsia="Roboto" w:hAnsi="Roboto"/>
                <w:b/>
                <w:bCs/>
                <w:color w:val="041E42"/>
                <w:sz w:val="20"/>
                <w:szCs w:val="20"/>
              </w:rPr>
              <w:t xml:space="preserve">5  ·  Shared view  (2 min)</w:t>
            </w:r>
          </w:p>
        </w:tc>
        <w:tc>
          <w:tcPr>
            <w:tcW w:type="dxa" w:w="6906"/>
            <w:shd w:fill="FFFFFF" w:val="clear"/>
            <w:tcMar>
              <w:top w:type="dxa" w:w="90"/>
              <w:left w:type="dxa" w:w="130"/>
              <w:bottom w:type="dxa" w:w="90"/>
              <w:right w:type="dxa" w:w="130"/>
            </w:tcMar>
          </w:tcPr>
          <w:p>
            <w:r>
              <w:rPr>
                <w:rFonts w:ascii="Lato" w:cs="Lato" w:eastAsia="Lato" w:hAnsi="Lato"/>
                <w:color w:val="041E42"/>
                <w:sz w:val="20"/>
                <w:szCs w:val="20"/>
              </w:rPr>
              <w:t xml:space="preserve">Agree the defensible level, or note honestly that the case is genuinely borderline and say why.</w:t>
            </w:r>
          </w:p>
        </w:tc>
      </w:tr>
    </w:tbl>
    <w:p>
      <w:pPr>
        <w:spacing w:after="12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The common slips, to surface and work through</w:t>
            </w:r>
          </w:p>
          <w:p>
            <w:pPr>
              <w:spacing w:after="110" w:line="276"/>
            </w:pPr>
            <w:r>
              <w:rPr>
                <w:rFonts w:ascii="Lato" w:cs="Lato" w:eastAsia="Lato" w:hAnsi="Lato"/>
                <w:b/>
                <w:bCs/>
                <w:color w:val="004976"/>
                <w:sz w:val="21"/>
                <w:szCs w:val="21"/>
              </w:rPr>
              <w:t xml:space="preserve">Rewarding effort or a strong plan.  </w:t>
            </w:r>
            <w:r>
              <w:rPr>
                <w:rFonts w:ascii="Lato" w:cs="Lato" w:eastAsia="Lato" w:hAnsi="Lato"/>
                <w:color w:val="041E42"/>
                <w:sz w:val="21"/>
                <w:szCs w:val="21"/>
              </w:rPr>
              <w:t xml:space="preserve">A well-reasoned plan not acted on is Theorist; a genuine effort that did not achieve the goal is Practitioner. Push the group back to what the evidence shows was done and achieved.</w:t>
            </w:r>
          </w:p>
          <w:p>
            <w:pPr>
              <w:spacing w:after="110" w:line="276"/>
            </w:pPr>
            <w:r>
              <w:rPr>
                <w:rFonts w:ascii="Lato" w:cs="Lato" w:eastAsia="Lato" w:hAnsi="Lato"/>
                <w:b/>
                <w:bCs/>
                <w:color w:val="004976"/>
                <w:sz w:val="21"/>
                <w:szCs w:val="21"/>
              </w:rPr>
              <w:t xml:space="preserve">Mistaking an attempt for an achievement.  </w:t>
            </w:r>
            <w:r>
              <w:rPr>
                <w:rFonts w:ascii="Lato" w:cs="Lato" w:eastAsia="Lato" w:hAnsi="Lato"/>
                <w:color w:val="041E42"/>
                <w:sz w:val="21"/>
                <w:szCs w:val="21"/>
              </w:rPr>
              <w:t xml:space="preserve">Gathering, attending, resubmitting, trying hard, are attempts. Achievement means the goal was reached, and the evidence has to show it.</w:t>
            </w:r>
          </w:p>
          <w:p>
            <w:pPr>
              <w:spacing w:after="0" w:line="276"/>
            </w:pPr>
            <w:r>
              <w:rPr>
                <w:rFonts w:ascii="Lato" w:cs="Lato" w:eastAsia="Lato" w:hAnsi="Lato"/>
                <w:b/>
                <w:bCs/>
                <w:color w:val="004976"/>
                <w:sz w:val="21"/>
                <w:szCs w:val="21"/>
              </w:rPr>
              <w:t xml:space="preserve">Crediting the wrong reflection.  </w:t>
            </w:r>
            <w:r>
              <w:rPr>
                <w:rFonts w:ascii="Lato" w:cs="Lato" w:eastAsia="Lato" w:hAnsi="Lato"/>
                <w:color w:val="041E42"/>
                <w:sz w:val="21"/>
                <w:szCs w:val="21"/>
              </w:rPr>
              <w:t xml:space="preserve">Reflection on the project is not reflection on the competency. Only reflection on how the learner went about the competency, borne out by evidence, counts at Reflective and Expert.</w:t>
            </w:r>
          </w:p>
        </w:tc>
      </w:tr>
    </w:tbl>
    <w:p>
      <w:pPr>
        <w:spacing w:after="120"/>
      </w:pP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grouping and online delivery</w:t>
            </w:r>
          </w:p>
          <w:p>
            <w:pPr>
              <w:spacing w:after="0" w:line="276"/>
            </w:pPr>
            <w:r>
              <w:rPr>
                <w:rFonts w:ascii="Lato" w:cs="Lato" w:eastAsia="Lato" w:hAnsi="Lato"/>
                <w:b w:val="false"/>
                <w:bCs w:val="false"/>
                <w:i w:val="false"/>
                <w:iCs w:val="false"/>
                <w:color w:val="041E42"/>
                <w:sz w:val="21"/>
                <w:szCs w:val="21"/>
              </w:rPr>
              <w:t xml:space="preserve">Pairs work well for the first calibration cases; move to small groups of three or four for the harder ones, where more views sharpen the argument. Online, use breakout rooms for the same structure, and bring the whole group back to compare where each group landed on a contested case.</w:t>
            </w:r>
          </w:p>
        </w:tc>
      </w:tr>
    </w:tbl>
    <w:p>
      <w:pPr>
        <w:spacing w:after="120"/>
      </w:pP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closing brief for the assessment  (1:50 to 2:00)</w:t>
            </w:r>
          </w:p>
          <w:p>
            <w:pPr>
              <w:spacing w:after="0" w:line="276"/>
            </w:pPr>
            <w:r>
              <w:rPr>
                <w:rFonts w:ascii="Lato" w:cs="Lato" w:eastAsia="Lato" w:hAnsi="Lato"/>
                <w:b w:val="false"/>
                <w:bCs w:val="false"/>
                <w:i w:val="false"/>
                <w:iCs w:val="false"/>
                <w:color w:val="041E42"/>
                <w:sz w:val="21"/>
                <w:szCs w:val="21"/>
              </w:rPr>
              <w:t xml:space="preserve">Hand out, or confirm access to, each participant’s drawn assessment set. Remind them there are no decisions provided for these, that they judge each case and write reasoning tied to the evidence, and that they add a short moderation-prep note before submitting.</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The assessment</w:t>
      </w:r>
    </w:p>
    <w:tbl>
      <w:tblPr>
        <w:tblW w:type="dxa" w:w="9506"/>
        <w:tblBorders>
          <w:top w:val="none"/>
          <w:left w:val="single" w:color="8F993E" w:sz="18"/>
          <w:bottom w:val="none"/>
          <w:right w:val="none"/>
          <w:insideH w:val="single" w:color="auto" w:sz="4"/>
          <w:insideV w:val="single" w:color="auto" w:sz="4"/>
        </w:tblBorders>
      </w:tblPr>
      <w:tblGrid>
        <w:gridCol w:w="9506"/>
      </w:tblGrid>
      <w:tr>
        <w:tc>
          <w:tcPr>
            <w:tcW w:type="dxa" w:w="9506"/>
            <w:shd w:fill="EDF0DE" w:val="clear"/>
            <w:tcMar>
              <w:top w:type="dxa" w:w="140"/>
              <w:left w:type="dxa" w:w="200"/>
              <w:bottom w:type="dxa" w:w="140"/>
              <w:right w:type="dxa" w:w="200"/>
            </w:tcMar>
          </w:tcPr>
          <w:p>
            <w:pPr>
              <w:spacing w:after="80"/>
            </w:pPr>
            <w:r>
              <w:rPr>
                <w:rFonts w:ascii="Roboto" w:cs="Roboto" w:eastAsia="Roboto" w:hAnsi="Roboto"/>
                <w:b/>
                <w:bCs/>
                <w:color w:val="8F993E"/>
                <w:sz w:val="20"/>
                <w:szCs w:val="20"/>
              </w:rPr>
              <w:t xml:space="preserve">Trainer note  ·  the assessment phase</w:t>
            </w:r>
          </w:p>
          <w:p>
            <w:pPr>
              <w:spacing w:after="0" w:line="276"/>
            </w:pPr>
            <w:r>
              <w:rPr>
                <w:rFonts w:ascii="Lato" w:cs="Lato" w:eastAsia="Lato" w:hAnsi="Lato"/>
                <w:b w:val="false"/>
                <w:bCs w:val="false"/>
                <w:i w:val="false"/>
                <w:iCs w:val="false"/>
                <w:color w:val="041E42"/>
                <w:sz w:val="21"/>
                <w:szCs w:val="21"/>
              </w:rPr>
              <w:t xml:space="preserve">Participants judge their drawn set independently, without the moderated decisions, and submit their level and reasoning for each case together with a moderation-prep note. This is their assessment for the module; there is no observed teaching and no interview.</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Signing off the module</w:t>
      </w:r>
    </w:p>
    <w:p>
      <w:pPr>
        <w:spacing w:after="140" w:line="276"/>
      </w:pPr>
      <w:r>
        <w:rPr>
          <w:rFonts w:ascii="Lato" w:cs="Lato" w:eastAsia="Lato" w:hAnsi="Lato"/>
          <w:b w:val="false"/>
          <w:bCs w:val="false"/>
          <w:i w:val="false"/>
          <w:iCs w:val="false"/>
          <w:color w:val="041E42"/>
          <w:sz w:val="21"/>
          <w:szCs w:val="21"/>
        </w:rPr>
        <w:t xml:space="preserve">Review each submission against the standard in the Conducting Assessments Sign-off Guide. The trainer edition gives you the moderated decision for every case, which is your reference for judging their judgements.</w:t>
      </w:r>
    </w:p>
    <w:p>
      <w:pPr>
        <w:spacing w:after="140" w:line="276"/>
      </w:pPr>
      <w:r>
        <w:rPr>
          <w:rFonts w:ascii="Lato" w:cs="Lato" w:eastAsia="Lato" w:hAnsi="Lato"/>
          <w:b/>
          <w:bCs/>
          <w:color w:val="004976"/>
          <w:sz w:val="21"/>
          <w:szCs w:val="21"/>
        </w:rPr>
        <w:t xml:space="preserve">What they submit.  </w:t>
      </w:r>
      <w:r>
        <w:rPr>
          <w:rFonts w:ascii="Lato" w:cs="Lato" w:eastAsia="Lato" w:hAnsi="Lato"/>
          <w:color w:val="041E42"/>
          <w:sz w:val="21"/>
          <w:szCs w:val="21"/>
        </w:rPr>
        <w:t xml:space="preserve">A level and reasoning for each assessment case, and a moderation-prep note.</w:t>
      </w:r>
    </w:p>
    <w:p>
      <w:pPr>
        <w:spacing w:after="100" w:line="276"/>
      </w:pPr>
      <w:r>
        <w:rPr>
          <w:rFonts w:ascii="Lato" w:cs="Lato" w:eastAsia="Lato" w:hAnsi="Lato"/>
          <w:b w:val="false"/>
          <w:bCs w:val="false"/>
          <w:i w:val="false"/>
          <w:iCs w:val="false"/>
          <w:color w:val="041E42"/>
          <w:sz w:val="21"/>
          <w:szCs w:val="21"/>
        </w:rPr>
        <w:t xml:space="preserve">Judge three things, each Met or Not yet:</w:t>
      </w:r>
    </w:p>
    <w:p>
      <w:pPr>
        <w:spacing w:after="80"/>
      </w:pPr>
      <w:r>
        <w:rPr>
          <w:rFonts w:ascii="Lato" w:cs="Lato" w:eastAsia="Lato" w:hAnsi="Lato"/>
          <w:b/>
          <w:bCs/>
          <w:color w:val="004976"/>
          <w:sz w:val="21"/>
          <w:szCs w:val="21"/>
        </w:rPr>
        <w:t xml:space="preserve">1.  Defensible across the scale.  </w:t>
      </w:r>
      <w:r>
        <w:rPr>
          <w:rFonts w:ascii="Lato" w:cs="Lato" w:eastAsia="Lato" w:hAnsi="Lato"/>
          <w:color w:val="041E42"/>
          <w:sz w:val="21"/>
          <w:szCs w:val="21"/>
        </w:rPr>
        <w:t xml:space="preserve">Judgements are sound across the levels, including the credit line and no level awarded.</w:t>
      </w:r>
    </w:p>
    <w:p>
      <w:pPr>
        <w:spacing w:after="80"/>
      </w:pPr>
      <w:r>
        <w:rPr>
          <w:rFonts w:ascii="Lato" w:cs="Lato" w:eastAsia="Lato" w:hAnsi="Lato"/>
          <w:b/>
          <w:bCs/>
          <w:color w:val="004976"/>
          <w:sz w:val="21"/>
          <w:szCs w:val="21"/>
        </w:rPr>
        <w:t xml:space="preserve">2.  Reasoning tied to evidence.  </w:t>
      </w:r>
      <w:r>
        <w:rPr>
          <w:rFonts w:ascii="Lato" w:cs="Lato" w:eastAsia="Lato" w:hAnsi="Lato"/>
          <w:color w:val="041E42"/>
          <w:sz w:val="21"/>
          <w:szCs w:val="21"/>
        </w:rPr>
        <w:t xml:space="preserve">Each judgement is justified by what the evidence shows, across sources, rather than asserted.</w:t>
      </w:r>
    </w:p>
    <w:p>
      <w:pPr>
        <w:spacing w:after="140"/>
      </w:pPr>
      <w:r>
        <w:rPr>
          <w:rFonts w:ascii="Lato" w:cs="Lato" w:eastAsia="Lato" w:hAnsi="Lato"/>
          <w:b/>
          <w:bCs/>
          <w:color w:val="004976"/>
          <w:sz w:val="21"/>
          <w:szCs w:val="21"/>
        </w:rPr>
        <w:t xml:space="preserve">3.  Ready for moderation.  </w:t>
      </w:r>
      <w:r>
        <w:rPr>
          <w:rFonts w:ascii="Lato" w:cs="Lato" w:eastAsia="Lato" w:hAnsi="Lato"/>
          <w:color w:val="041E42"/>
          <w:sz w:val="21"/>
          <w:szCs w:val="21"/>
        </w:rPr>
        <w:t xml:space="preserve">The note shows they can prepare to defend their judgements and, where needed, revise them.</w:t>
      </w: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Using the moderated decisions when you judge</w:t>
            </w:r>
          </w:p>
          <w:p>
            <w:pPr>
              <w:spacing w:after="100" w:line="276"/>
            </w:pPr>
            <w:r>
              <w:rPr>
                <w:rFonts w:ascii="Lato" w:cs="Lato" w:eastAsia="Lato" w:hAnsi="Lato"/>
                <w:b w:val="false"/>
                <w:bCs w:val="false"/>
                <w:i w:val="false"/>
                <w:iCs w:val="false"/>
                <w:color w:val="041E42"/>
                <w:sz w:val="21"/>
                <w:szCs w:val="21"/>
              </w:rPr>
              <w:t xml:space="preserve">A judgement that matches the moderated decision with sound reasoning clearly meets the bar. A judgement that diverges needs a closer look, not an automatic fail: if the reasoning is defensible and the case is genuinely borderline, it can still be defensible across the scale. If it misreads the evidence or the scale, it does not.</w:t>
            </w:r>
          </w:p>
          <w:p>
            <w:pPr>
              <w:spacing w:after="0" w:line="276"/>
            </w:pPr>
            <w:r>
              <w:rPr>
                <w:rFonts w:ascii="Lato" w:cs="Lato" w:eastAsia="Lato" w:hAnsi="Lato"/>
                <w:b w:val="false"/>
                <w:bCs w:val="false"/>
                <w:i w:val="false"/>
                <w:iCs w:val="false"/>
                <w:color w:val="041E42"/>
                <w:sz w:val="21"/>
                <w:szCs w:val="21"/>
              </w:rPr>
              <w:t xml:space="preserve">What should read as not yet: repeated divergence on the credit line or no level awarded, reasoning that asserts a level the evidence does not show, or a moderation-prep note that cannot say where the participant was unsure or what evidence they would point to.</w:t>
            </w:r>
          </w:p>
        </w:tc>
      </w:tr>
    </w:tbl>
    <w:p>
      <w:pPr>
        <w:spacing w:after="120"/>
      </w:pPr>
    </w:p>
    <w:p>
      <w:pPr>
        <w:spacing w:after="140" w:line="276"/>
      </w:pPr>
      <w:r>
        <w:rPr>
          <w:rFonts w:ascii="Lato" w:cs="Lato" w:eastAsia="Lato" w:hAnsi="Lato"/>
          <w:b w:val="false"/>
          <w:bCs w:val="false"/>
          <w:i w:val="false"/>
          <w:iCs w:val="false"/>
          <w:color w:val="041E42"/>
          <w:sz w:val="21"/>
          <w:szCs w:val="21"/>
        </w:rPr>
        <w:t xml:space="preserve">If anything is not yet there, give specific feedback and one chance to revise and resubmit. Passing means the participant holds the Conducting Assessments of Competence module.</w:t>
      </w:r>
    </w:p>
    <w:p>
      <w:pPr>
        <w:pBdr>
          <w:bottom w:val="single" w:color="8F993E" w:sz="6" w:space="4"/>
        </w:pBdr>
        <w:spacing w:after="100" w:before="260"/>
      </w:pPr>
      <w:r>
        <w:rPr>
          <w:rFonts w:ascii="Roboto" w:cs="Roboto" w:eastAsia="Roboto" w:hAnsi="Roboto"/>
          <w:b/>
          <w:bCs/>
          <w:color w:val="004976"/>
          <w:sz w:val="30"/>
          <w:szCs w:val="30"/>
        </w:rPr>
        <w:t xml:space="preserve">Using the Workbook and Participant Guide as a trainer</w:t>
      </w:r>
    </w:p>
    <w:p>
      <w:pPr>
        <w:spacing w:after="110" w:line="276"/>
      </w:pPr>
      <w:r>
        <w:rPr>
          <w:rFonts w:ascii="Lato" w:cs="Lato" w:eastAsia="Lato" w:hAnsi="Lato"/>
          <w:b/>
          <w:bCs/>
          <w:color w:val="004976"/>
          <w:sz w:val="21"/>
          <w:szCs w:val="21"/>
        </w:rPr>
        <w:t xml:space="preserve">The Workbook  </w:t>
      </w:r>
      <w:r>
        <w:rPr>
          <w:rFonts w:ascii="Lato" w:cs="Lato" w:eastAsia="Lato" w:hAnsi="Lato"/>
          <w:color w:val="041E42"/>
          <w:sz w:val="21"/>
          <w:szCs w:val="21"/>
        </w:rPr>
        <w:t xml:space="preserve">is the participants’ reference and yours. Its scale, its definition of a scenario, and its account of where judgements slip are the shared language of the module; teach from them so your framing and their reading match.</w:t>
      </w:r>
    </w:p>
    <w:p>
      <w:pPr>
        <w:spacing w:after="0" w:line="276"/>
      </w:pPr>
      <w:r>
        <w:rPr>
          <w:rFonts w:ascii="Lato" w:cs="Lato" w:eastAsia="Lato" w:hAnsi="Lato"/>
          <w:b/>
          <w:bCs/>
          <w:color w:val="004976"/>
          <w:sz w:val="21"/>
          <w:szCs w:val="21"/>
        </w:rPr>
        <w:t xml:space="preserve">The Participant Guide  </w:t>
      </w:r>
      <w:r>
        <w:rPr>
          <w:rFonts w:ascii="Lato" w:cs="Lato" w:eastAsia="Lato" w:hAnsi="Lato"/>
          <w:color w:val="041E42"/>
          <w:sz w:val="21"/>
          <w:szCs w:val="21"/>
        </w:rPr>
        <w:t xml:space="preserve">carries the arc, the tasks and the sign-off criteria. Point participants to it for what to bring to each session and what they will submit, so this guide can stay focused on facilitation.</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Conducting Assessments of Competence     ·     Trainer Guide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Trainer Guide</dc:title>
  <dc:creator>Amala Education for Change</dc:creator>
  <cp:lastModifiedBy>Un-named</cp:lastModifiedBy>
  <cp:revision>1</cp:revision>
  <dcterms:created xsi:type="dcterms:W3CDTF">2026-07-31T08:31:15.458Z</dcterms:created>
  <dcterms:modified xsi:type="dcterms:W3CDTF">2026-07-31T08:31:15.472Z</dcterms:modified>
</cp:coreProperties>
</file>

<file path=docProps/custom.xml><?xml version="1.0" encoding="utf-8"?>
<Properties xmlns="http://schemas.openxmlformats.org/officeDocument/2006/custom-properties" xmlns:vt="http://schemas.openxmlformats.org/officeDocument/2006/docPropsVTypes"/>
</file>