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Workbook</w:t>
      </w:r>
    </w:p>
    <w:p>
      <w:pPr>
        <w:spacing w:after="60"/>
      </w:pPr>
      <w:r>
        <w:rPr>
          <w:rFonts w:ascii="Lato" w:cs="Lato" w:eastAsia="Lato" w:hAnsi="Lato"/>
          <w:i/>
          <w:iCs/>
          <w:color w:val="97999B"/>
          <w:sz w:val="21"/>
          <w:szCs w:val="21"/>
        </w:rPr>
        <w:t xml:space="preserve">How competency assessment works at Amala</w:t>
      </w:r>
    </w:p>
    <w:p>
      <w:pPr>
        <w:spacing w:after="200"/>
      </w:pPr>
      <w:r>
        <w:rPr>
          <w:rFonts w:ascii="Lato" w:cs="Lato" w:eastAsia="Lato" w:hAnsi="Lato"/>
          <w:color w:val="97999B"/>
          <w:sz w:val="20"/>
          <w:szCs w:val="20"/>
        </w:rPr>
        <w:t xml:space="preserve">For educators and facilitators  ·  All Amala programmes</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How to use this document</w:t>
            </w:r>
          </w:p>
          <w:p>
            <w:pPr>
              <w:spacing w:after="100" w:line="276"/>
            </w:pPr>
            <w:r>
              <w:rPr>
                <w:rFonts w:ascii="Lato" w:cs="Lato" w:eastAsia="Lato" w:hAnsi="Lato"/>
                <w:b w:val="false"/>
                <w:bCs w:val="false"/>
                <w:i w:val="false"/>
                <w:iCs w:val="false"/>
                <w:color w:val="041E42"/>
                <w:sz w:val="21"/>
                <w:szCs w:val="21"/>
              </w:rPr>
              <w:t xml:space="preserve">This is your reference for the Conducting Assessments module and for the assessing you will do afterwards. Read it during the pre-work, and keep it beside you when you judge cases. It explains how Amala assesses competence, the scale you judge against, and how to reach a judgement you can defend in moderation.</w:t>
            </w:r>
          </w:p>
          <w:p>
            <w:pPr>
              <w:spacing w:after="0" w:line="276"/>
            </w:pPr>
            <w:r>
              <w:rPr>
                <w:rFonts w:ascii="Lato" w:cs="Lato" w:eastAsia="Lato" w:hAnsi="Lato"/>
                <w:b w:val="false"/>
                <w:bCs w:val="false"/>
                <w:i w:val="false"/>
                <w:iCs w:val="false"/>
                <w:color w:val="041E42"/>
                <w:sz w:val="21"/>
                <w:szCs w:val="21"/>
              </w:rPr>
              <w:t xml:space="preserve">It is programme-agnostic. It is about assessing competence against the scale, which is the same across Amala, not about the records, deadlines or admin of any one programme.</w:t>
            </w:r>
          </w:p>
        </w:tc>
      </w:tr>
    </w:tbl>
    <w:p>
      <w:pPr>
        <w:spacing w:after="120"/>
      </w:pPr>
    </w:p>
    <w:p>
      <w:pPr>
        <w:pBdr>
          <w:bottom w:val="single" w:color="8F993E" w:sz="6" w:space="4"/>
        </w:pBdr>
        <w:spacing w:after="100" w:before="280"/>
      </w:pPr>
      <w:r>
        <w:rPr>
          <w:rFonts w:ascii="Roboto" w:cs="Roboto" w:eastAsia="Roboto" w:hAnsi="Roboto"/>
          <w:b/>
          <w:bCs/>
          <w:color w:val="8F993E"/>
          <w:sz w:val="30"/>
          <w:szCs w:val="30"/>
        </w:rPr>
        <w:t xml:space="preserve">1   </w:t>
      </w:r>
      <w:r>
        <w:rPr>
          <w:rFonts w:ascii="Roboto" w:cs="Roboto" w:eastAsia="Roboto" w:hAnsi="Roboto"/>
          <w:b/>
          <w:bCs/>
          <w:color w:val="004976"/>
          <w:sz w:val="30"/>
          <w:szCs w:val="30"/>
        </w:rPr>
        <w:t xml:space="preserve">Competency-based assessment at Amala</w:t>
      </w:r>
    </w:p>
    <w:p>
      <w:pPr>
        <w:spacing w:after="140" w:line="276"/>
      </w:pPr>
      <w:r>
        <w:rPr>
          <w:rFonts w:ascii="Lato" w:cs="Lato" w:eastAsia="Lato" w:hAnsi="Lato"/>
          <w:b w:val="false"/>
          <w:bCs w:val="false"/>
          <w:i w:val="false"/>
          <w:iCs w:val="false"/>
          <w:color w:val="041E42"/>
          <w:sz w:val="21"/>
          <w:szCs w:val="21"/>
        </w:rPr>
        <w:t xml:space="preserve">At Amala we assess competence, not marks. The question is not how a learner scored on a task but what they can now do: whether the evidence shows they can carry out a competency, and how far along they are with it.</w:t>
      </w:r>
    </w:p>
    <w:p>
      <w:pPr>
        <w:spacing w:after="140" w:line="276"/>
      </w:pPr>
      <w:r>
        <w:rPr>
          <w:rFonts w:ascii="Lato" w:cs="Lato" w:eastAsia="Lato" w:hAnsi="Lato"/>
          <w:b w:val="false"/>
          <w:bCs w:val="false"/>
          <w:i w:val="false"/>
          <w:iCs w:val="false"/>
          <w:color w:val="041E42"/>
          <w:sz w:val="21"/>
          <w:szCs w:val="21"/>
        </w:rPr>
        <w:t xml:space="preserve">Competencies are organised into areas, such as Self-navigated Learning, Sustainable Innovation and Leading Change, and into tiers, beginning with the Foundational competencies. Each competency names a goal the learner is working towards. The full set of competencies, with their descriptors, lives in the Amala Competency Framework and Proficiency Scale, which is updated for each cohort year; this workbook explains how to use them rather than reproducing the list, so it stays current whatever you teach.</w:t>
      </w:r>
    </w:p>
    <w:p>
      <w:pPr>
        <w:spacing w:after="0" w:line="276"/>
      </w:pPr>
      <w:r>
        <w:rPr>
          <w:rFonts w:ascii="Lato" w:cs="Lato" w:eastAsia="Lato" w:hAnsi="Lato"/>
          <w:b w:val="false"/>
          <w:bCs w:val="false"/>
          <w:i w:val="false"/>
          <w:iCs w:val="false"/>
          <w:color w:val="041E42"/>
          <w:sz w:val="21"/>
          <w:szCs w:val="21"/>
        </w:rPr>
        <w:t xml:space="preserve">Every judgement is made against two things: the goal a competency names, and the proficiency scale below, which is the same for every competency.</w:t>
      </w:r>
    </w:p>
    <w:p>
      <w:pPr>
        <w:pBdr>
          <w:bottom w:val="single" w:color="8F993E" w:sz="6" w:space="4"/>
        </w:pBdr>
        <w:spacing w:after="100" w:before="280"/>
      </w:pPr>
      <w:r>
        <w:rPr>
          <w:rFonts w:ascii="Roboto" w:cs="Roboto" w:eastAsia="Roboto" w:hAnsi="Roboto"/>
          <w:b/>
          <w:bCs/>
          <w:color w:val="8F993E"/>
          <w:sz w:val="30"/>
          <w:szCs w:val="30"/>
        </w:rPr>
        <w:t xml:space="preserve">2   </w:t>
      </w:r>
      <w:r>
        <w:rPr>
          <w:rFonts w:ascii="Roboto" w:cs="Roboto" w:eastAsia="Roboto" w:hAnsi="Roboto"/>
          <w:b/>
          <w:bCs/>
          <w:color w:val="004976"/>
          <w:sz w:val="30"/>
          <w:szCs w:val="30"/>
        </w:rPr>
        <w:t xml:space="preserve">The proficiency scale</w:t>
      </w:r>
    </w:p>
    <w:p>
      <w:pPr>
        <w:spacing w:after="140" w:line="276"/>
      </w:pPr>
      <w:r>
        <w:rPr>
          <w:rFonts w:ascii="Lato" w:cs="Lato" w:eastAsia="Lato" w:hAnsi="Lato"/>
          <w:b w:val="false"/>
          <w:bCs w:val="false"/>
          <w:i w:val="false"/>
          <w:iCs w:val="false"/>
          <w:color w:val="041E42"/>
          <w:sz w:val="21"/>
          <w:szCs w:val="21"/>
        </w:rPr>
        <w:t xml:space="preserve">The scale is generic: one ladder of five levels, applied to any competency by reading the evidence against the goal that competency names. Credit begins at Practitioner.</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200"/>
        <w:gridCol w:w="1000"/>
        <w:gridCol w:w="6306"/>
      </w:tblGrid>
      <w:tr>
        <w:tc>
          <w:tcPr>
            <w:tcW w:type="dxa" w:w="2200"/>
            <w:shd w:fill="004976" w:val="clear"/>
            <w:tcMar>
              <w:top w:type="dxa" w:w="80"/>
              <w:left w:type="dxa" w:w="120"/>
              <w:bottom w:type="dxa" w:w="80"/>
              <w:right w:type="dxa" w:w="120"/>
            </w:tcMar>
          </w:tcPr>
          <w:p>
            <w:r>
              <w:rPr>
                <w:rFonts w:ascii="Roboto" w:cs="Roboto" w:eastAsia="Roboto" w:hAnsi="Roboto"/>
                <w:b/>
                <w:bCs/>
                <w:color w:val="FFFFFF"/>
                <w:sz w:val="20"/>
                <w:szCs w:val="20"/>
              </w:rPr>
              <w:t xml:space="preserve">Level</w:t>
            </w:r>
          </w:p>
        </w:tc>
        <w:tc>
          <w:tcPr>
            <w:tcW w:type="dxa" w:w="1000"/>
            <w:shd w:fill="004976" w:val="clear"/>
            <w:tcMar>
              <w:top w:type="dxa" w:w="80"/>
              <w:left w:type="dxa" w:w="120"/>
              <w:bottom w:type="dxa" w:w="80"/>
              <w:right w:type="dxa" w:w="120"/>
            </w:tcMar>
          </w:tcPr>
          <w:p>
            <w:pPr>
              <w:jc w:val="center"/>
            </w:pPr>
            <w:r>
              <w:rPr>
                <w:rFonts w:ascii="Roboto" w:cs="Roboto" w:eastAsia="Roboto" w:hAnsi="Roboto"/>
                <w:b/>
                <w:bCs/>
                <w:color w:val="FFFFFF"/>
                <w:sz w:val="20"/>
                <w:szCs w:val="20"/>
              </w:rPr>
              <w:t xml:space="preserve">GPA</w:t>
            </w:r>
          </w:p>
        </w:tc>
        <w:tc>
          <w:tcPr>
            <w:tcW w:type="dxa" w:w="6306"/>
            <w:shd w:fill="004976" w:val="clear"/>
            <w:tcMar>
              <w:top w:type="dxa" w:w="80"/>
              <w:left w:type="dxa" w:w="120"/>
              <w:bottom w:type="dxa" w:w="80"/>
              <w:right w:type="dxa" w:w="120"/>
            </w:tcMar>
          </w:tcPr>
          <w:p>
            <w:pPr>
              <w:spacing w:after="0" w:line="264"/>
            </w:pPr>
            <w:r>
              <w:rPr>
                <w:rFonts w:ascii="Roboto" w:cs="Roboto" w:eastAsia="Roboto" w:hAnsi="Roboto"/>
                <w:b/>
                <w:bCs/>
                <w:color w:val="FFFFFF"/>
                <w:sz w:val="20"/>
                <w:szCs w:val="20"/>
              </w:rPr>
              <w:t xml:space="preserve">What the evidence must show (the generic descriptor, applied to the goal named by the competency)</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No level awarded</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0</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Does not have a rationale for what they would do to achieve the goal in at least one scenario.</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Theorist</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2</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 rationale for what they would do to achieve the goal in at least one scenario.</w:t>
            </w:r>
          </w:p>
        </w:tc>
      </w:tr>
      <w:tr>
        <w:tc>
          <w:tcPr>
            <w:tcW w:type="dxa" w:w="2200"/>
            <w:shd w:fill="EDF0DE" w:val="clear"/>
            <w:tcMar>
              <w:top w:type="dxa" w:w="80"/>
              <w:left w:type="dxa" w:w="120"/>
              <w:bottom w:type="dxa" w:w="80"/>
              <w:right w:type="dxa" w:w="120"/>
            </w:tcMar>
          </w:tcPr>
          <w:p>
            <w:r>
              <w:rPr>
                <w:rFonts w:ascii="Roboto" w:cs="Roboto" w:eastAsia="Roboto" w:hAnsi="Roboto"/>
                <w:b/>
                <w:bCs/>
                <w:color w:val="041E42"/>
                <w:sz w:val="20"/>
                <w:szCs w:val="20"/>
              </w:rPr>
              <w:t xml:space="preserve">Practitioner (credit awarded)</w:t>
            </w:r>
          </w:p>
        </w:tc>
        <w:tc>
          <w:tcPr>
            <w:tcW w:type="dxa" w:w="1000"/>
            <w:shd w:fill="EDF0DE" w:val="clear"/>
            <w:tcMar>
              <w:top w:type="dxa" w:w="80"/>
              <w:left w:type="dxa" w:w="120"/>
              <w:bottom w:type="dxa" w:w="80"/>
              <w:right w:type="dxa" w:w="120"/>
            </w:tcMar>
          </w:tcPr>
          <w:p>
            <w:pPr>
              <w:jc w:val="center"/>
            </w:pPr>
            <w:r>
              <w:rPr>
                <w:rFonts w:ascii="Roboto" w:cs="Roboto" w:eastAsia="Roboto" w:hAnsi="Roboto"/>
                <w:color w:val="041E42"/>
                <w:sz w:val="20"/>
                <w:szCs w:val="20"/>
              </w:rPr>
              <w:t xml:space="preserve">3</w:t>
            </w:r>
          </w:p>
        </w:tc>
        <w:tc>
          <w:tcPr>
            <w:tcW w:type="dxa" w:w="6306"/>
            <w:shd w:fill="EDF0DE"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attempted to achieve the goal in at least one scenario and has a clear rationale for their actions.</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Reflective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3.5</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at least one scenario, with a clear rationale; and</w:t>
            </w:r>
          </w:p>
          <w:p>
            <w:pPr>
              <w:spacing w:after="0" w:line="264"/>
            </w:pPr>
            <w:r>
              <w:rPr>
                <w:rFonts w:ascii="Lato" w:cs="Lato" w:eastAsia="Lato" w:hAnsi="Lato"/>
                <w:b w:val="false"/>
                <w:bCs w:val="false"/>
                <w:color w:val="041E42"/>
                <w:sz w:val="20"/>
                <w:szCs w:val="20"/>
              </w:rPr>
              <w:t xml:space="preserve">Has identified strengths, weaknesses and improvements in their approach in at least one scenario, supporting their claims with evidence.</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Expert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4</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two or more scenarios, with a clear rationale;</w:t>
            </w:r>
          </w:p>
          <w:p>
            <w:pPr>
              <w:spacing w:after="60" w:line="264"/>
            </w:pPr>
            <w:r>
              <w:rPr>
                <w:rFonts w:ascii="Lato" w:cs="Lato" w:eastAsia="Lato" w:hAnsi="Lato"/>
                <w:b w:val="false"/>
                <w:bCs w:val="false"/>
                <w:color w:val="041E42"/>
                <w:sz w:val="20"/>
                <w:szCs w:val="20"/>
              </w:rPr>
              <w:t xml:space="preserve">Has identified strengths, weaknesses and improvements in two or more scenarios, supported with evidence; and</w:t>
            </w:r>
          </w:p>
          <w:p>
            <w:pPr>
              <w:spacing w:after="0" w:line="264"/>
            </w:pPr>
            <w:r>
              <w:rPr>
                <w:rFonts w:ascii="Lato" w:cs="Lato" w:eastAsia="Lato" w:hAnsi="Lato"/>
                <w:b w:val="false"/>
                <w:bCs w:val="false"/>
                <w:color w:val="041E42"/>
                <w:sz w:val="20"/>
                <w:szCs w:val="20"/>
              </w:rPr>
              <w:t xml:space="preserve">Has implemented improvements in their approach, demonstrating growth over time.</w:t>
            </w:r>
          </w:p>
        </w:tc>
      </w:tr>
    </w:tbl>
    <w:p>
      <w:pPr>
        <w:spacing w:after="60"/>
      </w:pPr>
    </w:p>
    <w:p>
      <w:pPr>
        <w:spacing w:after="0" w:line="276"/>
      </w:pPr>
      <w:r>
        <w:rPr>
          <w:rFonts w:ascii="Lato" w:cs="Lato" w:eastAsia="Lato" w:hAnsi="Lato"/>
          <w:b w:val="false"/>
          <w:bCs w:val="false"/>
          <w:i w:val="false"/>
          <w:iCs w:val="false"/>
          <w:color w:val="041E42"/>
          <w:sz w:val="21"/>
          <w:szCs w:val="21"/>
        </w:rPr>
        <w:t xml:space="preserve">What changes between adjacent levels, in one line each: No Level to Theorist, a rationale appears; Theorist to Practitioner, an attempt is made, and this is the credit line; Practitioner to Reflective, the attempt achieves the goal and is joined by evidenced reflection; Reflective to Expert, achievement and reflection recur across two or more scenarios and an improvement is implemented over time.</w:t>
      </w:r>
    </w:p>
    <w:p>
      <w:pPr>
        <w:pBdr>
          <w:bottom w:val="single" w:color="8F993E" w:sz="6" w:space="4"/>
        </w:pBdr>
        <w:spacing w:after="100" w:before="280"/>
      </w:pPr>
      <w:r>
        <w:rPr>
          <w:rFonts w:ascii="Roboto" w:cs="Roboto" w:eastAsia="Roboto" w:hAnsi="Roboto"/>
          <w:b/>
          <w:bCs/>
          <w:color w:val="8F993E"/>
          <w:sz w:val="30"/>
          <w:szCs w:val="30"/>
        </w:rPr>
        <w:t xml:space="preserve">3   </w:t>
      </w:r>
      <w:r>
        <w:rPr>
          <w:rFonts w:ascii="Roboto" w:cs="Roboto" w:eastAsia="Roboto" w:hAnsi="Roboto"/>
          <w:b/>
          <w:bCs/>
          <w:color w:val="004976"/>
          <w:sz w:val="30"/>
          <w:szCs w:val="30"/>
        </w:rPr>
        <w:t xml:space="preserve">Making a judgement</w:t>
      </w:r>
    </w:p>
    <w:p>
      <w:pPr>
        <w:spacing w:after="120" w:line="276"/>
      </w:pPr>
      <w:r>
        <w:rPr>
          <w:rFonts w:ascii="Lato" w:cs="Lato" w:eastAsia="Lato" w:hAnsi="Lato"/>
          <w:b/>
          <w:bCs/>
          <w:color w:val="004976"/>
          <w:sz w:val="21"/>
          <w:szCs w:val="21"/>
        </w:rPr>
        <w:t xml:space="preserve">Judge the learner, across evidence, over time.  </w:t>
      </w:r>
      <w:r>
        <w:rPr>
          <w:rFonts w:ascii="Lato" w:cs="Lato" w:eastAsia="Lato" w:hAnsi="Lato"/>
          <w:color w:val="041E42"/>
          <w:sz w:val="21"/>
          <w:szCs w:val="21"/>
        </w:rPr>
        <w:t xml:space="preserve">A judgement is about the learner’s competence, drawn from what you have seen them do and achieve, not the grading of a single piece of work. Look across the evidence you have gathered rather than at one artefact in isolation.</w:t>
      </w:r>
    </w:p>
    <w:p>
      <w:pPr>
        <w:spacing w:after="120" w:line="276"/>
      </w:pPr>
      <w:r>
        <w:rPr>
          <w:rFonts w:ascii="Lato" w:cs="Lato" w:eastAsia="Lato" w:hAnsi="Lato"/>
          <w:b/>
          <w:bCs/>
          <w:color w:val="004976"/>
          <w:sz w:val="21"/>
          <w:szCs w:val="21"/>
        </w:rPr>
        <w:t xml:space="preserve">Draw on evidence from more than one source.  </w:t>
      </w:r>
      <w:r>
        <w:rPr>
          <w:rFonts w:ascii="Lato" w:cs="Lato" w:eastAsia="Lato" w:hAnsi="Lato"/>
          <w:color w:val="041E42"/>
          <w:sz w:val="21"/>
          <w:szCs w:val="21"/>
        </w:rPr>
        <w:t xml:space="preserve">Evidence can be a piece of work you reviewed, something you observed in a session, a conversation you held, a presentation or showcase, or a performance. What matters is what the evidence shows about the learner’s competence, not the form it takes. A judgement carries more weight when it draws on more than one source.</w:t>
      </w:r>
    </w:p>
    <w:p>
      <w:pPr>
        <w:spacing w:after="120" w:line="276"/>
      </w:pPr>
      <w:r>
        <w:rPr>
          <w:rFonts w:ascii="Lato" w:cs="Lato" w:eastAsia="Lato" w:hAnsi="Lato"/>
          <w:b/>
          <w:bCs/>
          <w:color w:val="004976"/>
          <w:sz w:val="21"/>
          <w:szCs w:val="21"/>
        </w:rPr>
        <w:t xml:space="preserve">Match the evidence to the descriptor.  </w:t>
      </w:r>
      <w:r>
        <w:rPr>
          <w:rFonts w:ascii="Lato" w:cs="Lato" w:eastAsia="Lato" w:hAnsi="Lato"/>
          <w:color w:val="041E42"/>
          <w:sz w:val="21"/>
          <w:szCs w:val="21"/>
        </w:rPr>
        <w:t xml:space="preserve">For the competency in question, ask what the evidence shows against each rung of the scale: is there a rationale for how the learner would pursue the goal; did they attempt it; did they achieve it; did they reflect on their approach, with that reflection borne out by what happened; and did this recur across more than one scenario with an improvement carried over. Award the highest level the evidence fully supports, not the highest it hints at.</w:t>
      </w:r>
    </w:p>
    <w:p>
      <w:pPr>
        <w:spacing w:after="120" w:line="276"/>
      </w:pPr>
      <w:r>
        <w:rPr>
          <w:rFonts w:ascii="Lato" w:cs="Lato" w:eastAsia="Lato" w:hAnsi="Lato"/>
          <w:b/>
          <w:bCs/>
          <w:color w:val="004976"/>
          <w:sz w:val="21"/>
          <w:szCs w:val="21"/>
        </w:rPr>
        <w:t xml:space="preserve">Reflection means reflection on the competency.  </w:t>
      </w:r>
      <w:r>
        <w:rPr>
          <w:rFonts w:ascii="Lato" w:cs="Lato" w:eastAsia="Lato" w:hAnsi="Lato"/>
          <w:color w:val="041E42"/>
          <w:sz w:val="21"/>
          <w:szCs w:val="21"/>
        </w:rPr>
        <w:t xml:space="preserve">At Reflective and Expert, the learner must identify strengths, weaknesses and improvements in their approach to this competency, not in the topic they happened to work on, and the reflection must be borne out by evidence. It can surface anywhere: in a conversation, a written reflection, a presentation, a showcase.</w:t>
      </w:r>
    </w:p>
    <w:p>
      <w:pPr>
        <w:spacing w:after="120" w:line="276"/>
      </w:pPr>
      <w:r>
        <w:rPr>
          <w:rFonts w:ascii="Lato" w:cs="Lato" w:eastAsia="Lato" w:hAnsi="Lato"/>
          <w:b/>
          <w:bCs/>
          <w:color w:val="004976"/>
          <w:sz w:val="21"/>
          <w:szCs w:val="21"/>
        </w:rPr>
        <w:t xml:space="preserve">When no level is awarded.  </w:t>
      </w:r>
      <w:r>
        <w:rPr>
          <w:rFonts w:ascii="Lato" w:cs="Lato" w:eastAsia="Lato" w:hAnsi="Lato"/>
          <w:color w:val="041E42"/>
          <w:sz w:val="21"/>
          <w:szCs w:val="21"/>
        </w:rPr>
        <w:t xml:space="preserve">If the evidence does not show even a rationale for pursuing the goal, no level is awarded. This is a description of the evidence, not a judgement of the person; a quiet or reserved learner is not automatically at this level.</w:t>
      </w:r>
    </w:p>
    <w:p>
      <w:pPr>
        <w:spacing w:after="0" w:line="276"/>
      </w:pPr>
      <w:r>
        <w:rPr>
          <w:rFonts w:ascii="Lato" w:cs="Lato" w:eastAsia="Lato" w:hAnsi="Lato"/>
          <w:b/>
          <w:bCs/>
          <w:color w:val="004976"/>
          <w:sz w:val="21"/>
          <w:szCs w:val="21"/>
        </w:rPr>
        <w:t xml:space="preserve">Write reasoning you can defend.  </w:t>
      </w:r>
      <w:r>
        <w:rPr>
          <w:rFonts w:ascii="Lato" w:cs="Lato" w:eastAsia="Lato" w:hAnsi="Lato"/>
          <w:color w:val="041E42"/>
          <w:sz w:val="21"/>
          <w:szCs w:val="21"/>
        </w:rPr>
        <w:t xml:space="preserve">For each judgement, name the level and say why, pointing to what in the evidence carries it. Good reasoning moves from evidence, to the descriptor it meets, to the level. Avoid asserting a level the evidence does not show.</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What counts as a scenario</w:t>
            </w:r>
          </w:p>
          <w:p>
            <w:pPr>
              <w:spacing w:after="100" w:line="276"/>
            </w:pPr>
            <w:r>
              <w:rPr>
                <w:rFonts w:ascii="Lato" w:cs="Lato" w:eastAsia="Lato" w:hAnsi="Lato"/>
                <w:b w:val="false"/>
                <w:bCs w:val="false"/>
                <w:i w:val="false"/>
                <w:iCs w:val="false"/>
                <w:color w:val="041E42"/>
                <w:sz w:val="21"/>
                <w:szCs w:val="21"/>
              </w:rPr>
              <w:t xml:space="preserve">A scenario is a distinct situation in which the learner works towards the goal the competency names: a particular project, task, group or occasion, bounded in time and context. Two pieces of work on the same project are usually one scenario; the same competency shown in a different project, group or occasion is a second.</w:t>
            </w:r>
          </w:p>
          <w:p>
            <w:pPr>
              <w:spacing w:after="0" w:line="276"/>
            </w:pPr>
            <w:r>
              <w:rPr>
                <w:rFonts w:ascii="Lato" w:cs="Lato" w:eastAsia="Lato" w:hAnsi="Lato"/>
                <w:b w:val="false"/>
                <w:bCs w:val="false"/>
                <w:i w:val="false"/>
                <w:iCs w:val="false"/>
                <w:color w:val="041E42"/>
                <w:sz w:val="21"/>
                <w:szCs w:val="21"/>
              </w:rPr>
              <w:t xml:space="preserve">This matters most at the top of the scale. Reflective Practitioner rests on one scenario in which the learner achieved the goal and reflected on their approach. Expert Practitioner requires two or more such scenarios, with an improvement carried from one to the next. When you are unsure whether something is one scenario or two, ask whether the learner had a genuinely fresh occasion to apply the competency, with the chance to do it differently, or whether it was the same occasion continued.</w:t>
            </w:r>
          </w:p>
        </w:tc>
      </w:tr>
    </w:tbl>
    <w:p>
      <w:pPr>
        <w:spacing w:after="12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Where judgements commonly slip</w:t>
            </w:r>
          </w:p>
          <w:p>
            <w:pPr>
              <w:spacing w:after="120" w:line="276"/>
            </w:pPr>
            <w:r>
              <w:rPr>
                <w:rFonts w:ascii="Lato" w:cs="Lato" w:eastAsia="Lato" w:hAnsi="Lato"/>
                <w:b/>
                <w:bCs/>
                <w:color w:val="004976"/>
                <w:sz w:val="21"/>
                <w:szCs w:val="21"/>
              </w:rPr>
              <w:t xml:space="preserve">Rewarding effort or a good plan as if it were an attempt or an achievement.  </w:t>
            </w:r>
            <w:r>
              <w:rPr>
                <w:rFonts w:ascii="Lato" w:cs="Lato" w:eastAsia="Lato" w:hAnsi="Lato"/>
                <w:color w:val="041E42"/>
                <w:sz w:val="21"/>
                <w:szCs w:val="21"/>
              </w:rPr>
              <w:t xml:space="preserve">A strong, well-reasoned plan the learner has not acted on is Theorist, not Practitioner. A genuine, sustained effort that did not achieve the goal is Practitioner, not Reflective.</w:t>
            </w:r>
          </w:p>
          <w:p>
            <w:pPr>
              <w:spacing w:after="120" w:line="276"/>
            </w:pPr>
            <w:r>
              <w:rPr>
                <w:rFonts w:ascii="Lato" w:cs="Lato" w:eastAsia="Lato" w:hAnsi="Lato"/>
                <w:b/>
                <w:bCs/>
                <w:color w:val="004976"/>
                <w:sz w:val="21"/>
                <w:szCs w:val="21"/>
              </w:rPr>
              <w:t xml:space="preserve">Mistaking an attempt for an achievement.  </w:t>
            </w:r>
            <w:r>
              <w:rPr>
                <w:rFonts w:ascii="Lato" w:cs="Lato" w:eastAsia="Lato" w:hAnsi="Lato"/>
                <w:color w:val="041E42"/>
                <w:sz w:val="21"/>
                <w:szCs w:val="21"/>
              </w:rPr>
              <w:t xml:space="preserve">Gathering material, attending, resubmitting, trying hard: these are attempts. Achievement means the goal was actually reached, and the evidence has to show it.</w:t>
            </w:r>
          </w:p>
          <w:p>
            <w:pPr>
              <w:spacing w:after="0" w:line="276"/>
            </w:pPr>
            <w:r>
              <w:rPr>
                <w:rFonts w:ascii="Lato" w:cs="Lato" w:eastAsia="Lato" w:hAnsi="Lato"/>
                <w:b/>
                <w:bCs/>
                <w:color w:val="004976"/>
                <w:sz w:val="21"/>
                <w:szCs w:val="21"/>
              </w:rPr>
              <w:t xml:space="preserve">Crediting reflection that belongs to the project, not the competency.  </w:t>
            </w:r>
            <w:r>
              <w:rPr>
                <w:rFonts w:ascii="Lato" w:cs="Lato" w:eastAsia="Lato" w:hAnsi="Lato"/>
                <w:color w:val="041E42"/>
                <w:sz w:val="21"/>
                <w:szCs w:val="21"/>
              </w:rPr>
              <w:t xml:space="preserve">A learner reflecting on their topic is not the same as reflecting on how they went about the competency. Only the latter counts.</w:t>
            </w:r>
          </w:p>
        </w:tc>
      </w:tr>
    </w:tbl>
    <w:p>
      <w:pPr>
        <w:pBdr>
          <w:bottom w:val="single" w:color="8F993E" w:sz="6" w:space="4"/>
        </w:pBdr>
        <w:spacing w:after="100" w:before="280"/>
      </w:pPr>
      <w:r>
        <w:rPr>
          <w:rFonts w:ascii="Roboto" w:cs="Roboto" w:eastAsia="Roboto" w:hAnsi="Roboto"/>
          <w:b/>
          <w:bCs/>
          <w:color w:val="8F993E"/>
          <w:sz w:val="30"/>
          <w:szCs w:val="30"/>
        </w:rPr>
        <w:t xml:space="preserve">4   </w:t>
      </w:r>
      <w:r>
        <w:rPr>
          <w:rFonts w:ascii="Roboto" w:cs="Roboto" w:eastAsia="Roboto" w:hAnsi="Roboto"/>
          <w:b/>
          <w:bCs/>
          <w:color w:val="004976"/>
          <w:sz w:val="30"/>
          <w:szCs w:val="30"/>
        </w:rPr>
        <w:t xml:space="preserve">Moderation</w:t>
      </w:r>
    </w:p>
    <w:p>
      <w:pPr>
        <w:spacing w:after="140" w:line="276"/>
      </w:pPr>
      <w:r>
        <w:rPr>
          <w:rFonts w:ascii="Lato" w:cs="Lato" w:eastAsia="Lato" w:hAnsi="Lato"/>
          <w:b w:val="false"/>
          <w:bCs w:val="false"/>
          <w:i w:val="false"/>
          <w:iCs w:val="false"/>
          <w:color w:val="041E42"/>
          <w:sz w:val="21"/>
          <w:szCs w:val="21"/>
        </w:rPr>
        <w:t xml:space="preserve">Moderation is how Amala keeps judgements consistent between educators. You bring your judgements and your reasoning, compare them with others against the same evidence, and work towards a shared, defensible view. A judgement you cannot explain from the evidence will not hold in moderation.</w:t>
      </w:r>
    </w:p>
    <w:p>
      <w:pPr>
        <w:spacing w:after="0" w:line="276"/>
      </w:pPr>
      <w:r>
        <w:rPr>
          <w:rFonts w:ascii="Lato" w:cs="Lato" w:eastAsia="Lato" w:hAnsi="Lato"/>
          <w:b w:val="false"/>
          <w:bCs w:val="false"/>
          <w:i w:val="false"/>
          <w:iCs w:val="false"/>
          <w:color w:val="041E42"/>
          <w:sz w:val="21"/>
          <w:szCs w:val="21"/>
        </w:rPr>
        <w:t xml:space="preserve">Preparing for moderation means being able to say, for each judgement, what evidence it rests on, which were hardest to call and why, and where you were least sure. Expect to defend some judgements and to revise others in the light of the discussion; both are part of assessing well.</w:t>
      </w:r>
    </w:p>
    <w:p>
      <w:pPr>
        <w:pBdr>
          <w:bottom w:val="single" w:color="8F993E" w:sz="6" w:space="4"/>
        </w:pBdr>
        <w:spacing w:after="100" w:before="280"/>
      </w:pPr>
      <w:r>
        <w:rPr>
          <w:rFonts w:ascii="Roboto" w:cs="Roboto" w:eastAsia="Roboto" w:hAnsi="Roboto"/>
          <w:b/>
          <w:bCs/>
          <w:color w:val="8F993E"/>
          <w:sz w:val="30"/>
          <w:szCs w:val="30"/>
        </w:rPr>
        <w:t xml:space="preserve">5   </w:t>
      </w:r>
      <w:r>
        <w:rPr>
          <w:rFonts w:ascii="Roboto" w:cs="Roboto" w:eastAsia="Roboto" w:hAnsi="Roboto"/>
          <w:b/>
          <w:bCs/>
          <w:color w:val="004976"/>
          <w:sz w:val="30"/>
          <w:szCs w:val="30"/>
        </w:rPr>
        <w:t xml:space="preserve">A worked case</w:t>
      </w:r>
    </w:p>
    <w:p>
      <w:pPr>
        <w:spacing w:after="140" w:line="276"/>
      </w:pPr>
      <w:r>
        <w:rPr>
          <w:rFonts w:ascii="Lato" w:cs="Lato" w:eastAsia="Lato" w:hAnsi="Lato"/>
          <w:b w:val="false"/>
          <w:bCs w:val="false"/>
          <w:i w:val="false"/>
          <w:iCs w:val="false"/>
          <w:color w:val="041E42"/>
          <w:sz w:val="21"/>
          <w:szCs w:val="21"/>
        </w:rPr>
        <w:t xml:space="preserve">Read the evidence below and decide the level yourself before reading the reasoning. This is the kind of case you will practise on.</w:t>
      </w:r>
    </w:p>
    <w:p>
      <w:pPr>
        <w:spacing w:after="100" w:before="240"/>
      </w:pPr>
      <w:r>
        <w:rPr>
          <w:rFonts w:ascii="Roboto" w:cs="Roboto" w:eastAsia="Roboto" w:hAnsi="Roboto"/>
          <w:b/>
          <w:bCs/>
          <w:color w:val="004976"/>
          <w:sz w:val="25"/>
          <w:szCs w:val="25"/>
        </w:rPr>
        <w:t xml:space="preserve">Set and pursue goals</w:t>
      </w:r>
    </w:p>
    <w:p>
      <w:pPr>
        <w:spacing w:after="120"/>
      </w:pPr>
      <w:r>
        <w:rPr>
          <w:rFonts w:ascii="Lato" w:cs="Lato" w:eastAsia="Lato" w:hAnsi="Lato"/>
          <w:i/>
          <w:iCs/>
          <w:color w:val="97999B"/>
          <w:sz w:val="21"/>
          <w:szCs w:val="21"/>
        </w:rPr>
        <w:t xml:space="preserve">Sahar  ·  online</w:t>
      </w:r>
    </w:p>
    <w:p>
      <w:pPr>
        <w:spacing w:after="60"/>
      </w:pPr>
      <w:r>
        <w:rPr>
          <w:rFonts w:ascii="Lato" w:cs="Lato" w:eastAsia="Lato" w:hAnsi="Lato"/>
          <w:b/>
          <w:bCs/>
          <w:color w:val="004976"/>
          <w:sz w:val="21"/>
          <w:szCs w:val="21"/>
        </w:rPr>
        <w:t xml:space="preserve">The goal this competency names: </w:t>
      </w:r>
      <w:r>
        <w:rPr>
          <w:rFonts w:ascii="Lato" w:cs="Lato" w:eastAsia="Lato" w:hAnsi="Lato"/>
          <w:color w:val="041E42"/>
          <w:sz w:val="21"/>
          <w:szCs w:val="21"/>
        </w:rPr>
        <w:t xml:space="preserve">the learner can establish clear objectives for learning and growth and take deliberate steps to make progress towards them.</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Sahar is an online learner. Her educator is assessing how she sets and pursues goals. The clearest evidence is one goal she set and saw through this term: running the weekly study group for her cohort so that members took part.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 Sahar set: to run the weekly online study group so that members took part rather than only attended. She had planned her steps, prepare an agenda each week, assign a role to each member, follow up with anyone who went quiet, and had reasoned that participation drops when sessions are unstructured, so structure and clear roles should help.</w:t>
      </w:r>
    </w:p>
    <w:p>
      <w:pPr>
        <w:spacing w:after="140" w:line="276"/>
      </w:pPr>
      <w:r>
        <w:rPr>
          <w:rFonts w:ascii="Lato" w:cs="Lato" w:eastAsia="Lato" w:hAnsi="Lato"/>
          <w:b w:val="false"/>
          <w:bCs w:val="false"/>
          <w:i w:val="false"/>
          <w:iCs w:val="false"/>
          <w:color w:val="041E42"/>
          <w:sz w:val="21"/>
          <w:szCs w:val="21"/>
        </w:rPr>
        <w:t xml:space="preserve">The educator watched her carry it through across the term. Sahar ran the group each week, and over six weeks the number of members speaking rose from two or three to most of the group, with two who had never spoken beginning to lead parts of the discussion. Alongside this she kept her own week-by-week record of who contributed.</w:t>
      </w:r>
    </w:p>
    <w:p>
      <w:pPr>
        <w:spacing w:after="140" w:line="276"/>
      </w:pPr>
      <w:r>
        <w:rPr>
          <w:rFonts w:ascii="Lato" w:cs="Lato" w:eastAsia="Lato" w:hAnsi="Lato"/>
          <w:b w:val="false"/>
          <w:bCs w:val="false"/>
          <w:i w:val="false"/>
          <w:iCs w:val="false"/>
          <w:color w:val="041E42"/>
          <w:sz w:val="21"/>
          <w:szCs w:val="21"/>
        </w:rPr>
        <w:t xml:space="preserve">At a session where learners each presented a goal they had worked on that term, Sahar spoke as much about how she had gone about it as about the group itself. Defining what she wanted as each member speaking every week, rather than just attending, had let her see week to week whether it was working, and she showed the record where the names contributing spread from three to nine. She was also frank about what had not worked: she had set all her steps at the start and left no point to check partway, so she only noticed her first agenda was too full after two members had drifted away, and she said she would build in a mid-term check if she ran it again.</w:t>
      </w: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Working through the judgement</w:t>
            </w:r>
          </w:p>
          <w:p>
            <w:pPr>
              <w:spacing w:after="100" w:line="276"/>
            </w:pPr>
            <w:r>
              <w:rPr>
                <w:rFonts w:ascii="Lato" w:cs="Lato" w:eastAsia="Lato" w:hAnsi="Lato"/>
                <w:b w:val="false"/>
                <w:bCs w:val="false"/>
                <w:i w:val="false"/>
                <w:iCs w:val="false"/>
                <w:color w:val="041E42"/>
                <w:sz w:val="21"/>
                <w:szCs w:val="21"/>
              </w:rPr>
              <w:t xml:space="preserve">Take the scale one rung at a time. Is there a rationale for how she would pursue the goal? Yes: her plan reasons that structure and clear roles lift participation. Did she attempt it? Yes: she ran the group each week, so this is past Theorist and past the credit line. Did she achieve the goal? Yes: participation rose from two or three speakers to most of the group, which she can show. Is there reflection on her approach, borne out by evidence? Yes: presenting her work she named what worked and a real weakness in how she had planned her steps, each grounded in what happened, not asserted.</w:t>
            </w:r>
          </w:p>
          <w:p>
            <w:pPr>
              <w:spacing w:after="0" w:line="276"/>
            </w:pPr>
            <w:r>
              <w:rPr>
                <w:rFonts w:ascii="Lato" w:cs="Lato" w:eastAsia="Lato" w:hAnsi="Lato"/>
                <w:b w:val="false"/>
                <w:bCs w:val="false"/>
                <w:i w:val="false"/>
                <w:iCs w:val="false"/>
                <w:color w:val="041E42"/>
                <w:sz w:val="21"/>
                <w:szCs w:val="21"/>
              </w:rPr>
              <w:t xml:space="preserve">That reaches Reflective Practitioner. It does not reach Expert, because the achievement and reflection sit in one scenario, and she has not yet carried her improvement into a second. Note that the reflection is about how she set and pursued the goal, not about the study group as a topic, and that it reached the educator through a presentation, which counts as fully as anything written.</w:t>
            </w:r>
          </w:p>
        </w:tc>
      </w:tr>
    </w:tbl>
    <w:p>
      <w:pPr>
        <w:pBdr>
          <w:bottom w:val="single" w:color="8F993E" w:sz="6" w:space="4"/>
        </w:pBdr>
        <w:spacing w:after="100" w:before="280"/>
      </w:pPr>
      <w:r>
        <w:rPr>
          <w:rFonts w:ascii="Roboto" w:cs="Roboto" w:eastAsia="Roboto" w:hAnsi="Roboto"/>
          <w:b/>
          <w:bCs/>
          <w:color w:val="8F993E"/>
          <w:sz w:val="30"/>
          <w:szCs w:val="30"/>
        </w:rPr>
        <w:t xml:space="preserve">6   </w:t>
      </w:r>
      <w:r>
        <w:rPr>
          <w:rFonts w:ascii="Roboto" w:cs="Roboto" w:eastAsia="Roboto" w:hAnsi="Roboto"/>
          <w:b/>
          <w:bCs/>
          <w:color w:val="004976"/>
          <w:sz w:val="30"/>
          <w:szCs w:val="30"/>
        </w:rPr>
        <w:t xml:space="preserve">Practising and being assessed</w:t>
      </w:r>
    </w:p>
    <w:p>
      <w:pPr>
        <w:spacing w:after="0" w:line="276"/>
      </w:pPr>
      <w:r>
        <w:rPr>
          <w:rFonts w:ascii="Lato" w:cs="Lato" w:eastAsia="Lato" w:hAnsi="Lato"/>
          <w:b w:val="false"/>
          <w:bCs w:val="false"/>
          <w:i w:val="false"/>
          <w:iCs w:val="false"/>
          <w:color w:val="041E42"/>
          <w:sz w:val="21"/>
          <w:szCs w:val="21"/>
        </w:rPr>
        <w:t xml:space="preserve">You will practise on cases in the case bank educator edition, judging each and then checking against the moderated decisions in the companion edition. For your assessment you will judge a set of cases without the decisions, write your reasoning, and add a short moderation-prep note. The Participant Guide sets out the arc and how you will be signed off.</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Conducting Assessments of Competence     ·     Workbook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Workbook</dc:title>
  <dc:creator>Amala Education for Change</dc:creator>
  <cp:lastModifiedBy>Un-named</cp:lastModifiedBy>
  <cp:revision>1</cp:revision>
  <dcterms:created xsi:type="dcterms:W3CDTF">2026-07-31T08:00:36.473Z</dcterms:created>
  <dcterms:modified xsi:type="dcterms:W3CDTF">2026-07-31T08:00:36.492Z</dcterms:modified>
</cp:coreProperties>
</file>

<file path=docProps/custom.xml><?xml version="1.0" encoding="utf-8"?>
<Properties xmlns="http://schemas.openxmlformats.org/officeDocument/2006/custom-properties" xmlns:vt="http://schemas.openxmlformats.org/officeDocument/2006/docPropsVTypes"/>
</file>