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4870"/>
        <w:gridCol w:w="4870"/>
      </w:tblGrid>
      <w:tr>
        <w:tc>
          <w:tcPr>
            <w:tcW w:type="dxa" w:w="4870"/>
            <w:shd w:fill="004976" w:color="auto" w:val="clear"/>
            <w:tcMar>
              <w:top w:type="dxa" w:w="70"/>
              <w:left w:type="dxa" w:w="180"/>
              <w:bottom w:type="dxa" w:w="70"/>
              <w:right w:type="dxa" w:w="150"/>
            </w:tcMar>
          </w:tcPr>
          <w:p>
            <w:r>
              <w:rPr>
                <w:rFonts w:ascii="Roboto" w:cs="Roboto" w:eastAsia="Roboto" w:hAnsi="Roboto"/>
                <w:b/>
                <w:bCs/>
                <w:color w:val="FFFFFF"/>
                <w:sz w:val="19"/>
                <w:szCs w:val="19"/>
              </w:rPr>
              <w:t xml:space="preserve">Being a mentor</w:t>
            </w:r>
          </w:p>
        </w:tc>
        <w:tc>
          <w:tcPr>
            <w:tcW w:type="dxa" w:w="4870"/>
            <w:shd w:fill="004976" w:color="auto" w:val="clear"/>
            <w:tcMar>
              <w:top w:type="dxa" w:w="70"/>
              <w:left w:type="dxa" w:w="150"/>
              <w:bottom w:type="dxa" w:w="70"/>
              <w:right w:type="dxa" w:w="180"/>
            </w:tcMar>
          </w:tcPr>
          <w:p>
            <w:pPr>
              <w:jc w:val="right"/>
            </w:pPr>
            <w:r>
              <w:rPr>
                <w:rFonts w:ascii="Roboto" w:cs="Roboto" w:eastAsia="Roboto" w:hAnsi="Roboto"/>
                <w:color w:val="FFFFFF"/>
                <w:sz w:val="18"/>
                <w:szCs w:val="18"/>
              </w:rPr>
              <w:t xml:space="preserve">Amala Education for Change</w:t>
            </w:r>
          </w:p>
        </w:tc>
      </w:tr>
    </w:tbl>
    <w:p>
      <w:pPr>
        <w:spacing w:after="0" w:before="200"/>
      </w:pPr>
      <w:r>
        <w:rPr>
          <w:rFonts w:ascii="Roboto" w:cs="Roboto" w:eastAsia="Roboto" w:hAnsi="Roboto"/>
          <w:b/>
          <w:bCs/>
          <w:color w:val="004976"/>
          <w:sz w:val="40"/>
          <w:szCs w:val="40"/>
        </w:rPr>
        <w:t xml:space="preserve">Mentoring Scenarios</w:t>
      </w:r>
    </w:p>
    <w:p>
      <w:pPr>
        <w:spacing w:after="160"/>
      </w:pPr>
      <w:r>
        <w:rPr>
          <w:rFonts w:ascii="Roboto" w:cs="Roboto" w:eastAsia="Roboto" w:hAnsi="Roboto"/>
          <w:color w:val="97999B"/>
          <w:sz w:val="20"/>
          <w:szCs w:val="20"/>
        </w:rPr>
        <w:t xml:space="preserve">Facilitator set   ·   one demonstration and three assessment scenarios</w:t>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How to use these scenarios  </w:t>
            </w:r>
            <w:r>
              <w:rPr>
                <w:color w:val="222222"/>
                <w:sz w:val="19"/>
                <w:szCs w:val="19"/>
              </w:rPr>
              <w:t xml:space="preserve">These are the mentoring scenarios for the module. There is one demonstration scenario, which you work through together in Session 1 to establish the coaching stance, and three assessment scenarios, which educators respond to in writing during independent work and review with peers in Session 2. Educators respond to two or three of the assessment scenarios, at your discretion. The text in each white box is what educators see: it carries no labels and no hints about the part of the role in play or the right answer, because reading the situation and judging it is the skill being assessed. The facilitator notes below each box are for you only. Do not share them with educators before they respond.</w:t>
            </w:r>
          </w:p>
        </w:tc>
      </w:tr>
    </w:tbl>
    <w:p>
      <w:pPr>
        <w:spacing w:after="12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The spine, and one line you must hold.  </w:t>
            </w:r>
            <w:r>
              <w:rPr>
                <w:color w:val="222222"/>
                <w:sz w:val="19"/>
                <w:szCs w:val="19"/>
              </w:rPr>
              <w:t xml:space="preserve">Every scenario turns on one decision: keep the mentee the author of their own way forward (coach, do not rescue), or recognise that this needs more than mentoring and act (signpost, refer, escalate). Scenarios 1 and 2 look similar on the surface and resolve in opposite directions, on purpose: distress alone is not a reason to refer, and refusing to refer is not resilience. On the safeguarding scenario, a strong response acts within the educator’s own setting’s policy and reaches their designated lead. There is no single universal procedure, so do not reward a slick generic one; reward recognising the boundary and routing correctly. Handle that scenario with care in the room; some educators will have their own experiences close to it.</w:t>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820"/>
        <w:gridCol w:w="8920"/>
      </w:tblGrid>
      <w:tr>
        <w:tc>
          <w:tcPr>
            <w:tcW w:type="dxa" w:w="820"/>
            <w:shd w:fill="004976" w:color="auto" w:val="clear"/>
            <w:vAlign w:val="center"/>
          </w:tcPr>
          <w:p>
            <w:pPr>
              <w:jc w:val="center"/>
            </w:pPr>
            <w:r>
              <w:rPr>
                <w:rFonts w:ascii="Roboto" w:cs="Roboto" w:eastAsia="Roboto" w:hAnsi="Roboto"/>
                <w:b/>
                <w:bCs/>
                <w:color w:val="FFFFFF"/>
                <w:sz w:val="26"/>
                <w:szCs w:val="26"/>
              </w:rPr>
              <w:t xml:space="preserve">D</w:t>
            </w:r>
          </w:p>
        </w:tc>
        <w:tc>
          <w:tcPr>
            <w:tcW w:type="dxa" w:w="8920"/>
            <w:shd w:fill="004976" w:color="auto" w:val="clear"/>
            <w:tcMar>
              <w:top w:type="dxa" w:w="110"/>
              <w:left w:type="dxa" w:w="200"/>
              <w:bottom w:type="dxa" w:w="110"/>
              <w:right w:type="dxa" w:w="150"/>
            </w:tcMar>
            <w:vAlign w:val="center"/>
          </w:tcPr>
          <w:p>
            <w:r>
              <w:rPr>
                <w:rFonts w:ascii="Roboto" w:cs="Roboto" w:eastAsia="Roboto" w:hAnsi="Roboto"/>
                <w:b/>
                <w:bCs/>
                <w:color w:val="FFFFFF"/>
                <w:sz w:val="24"/>
                <w:szCs w:val="24"/>
              </w:rPr>
              <w:t xml:space="preserve">Demonstration scenario</w:t>
            </w:r>
          </w:p>
          <w:p>
            <w:r>
              <w:rPr>
                <w:rFonts w:ascii="Roboto" w:cs="Roboto" w:eastAsia="Roboto" w:hAnsi="Roboto"/>
                <w:color w:val="FFFFFF"/>
                <w:sz w:val="17"/>
                <w:szCs w:val="17"/>
              </w:rPr>
              <w:t xml:space="preserve">Worked together in Session 1</w:t>
            </w:r>
          </w:p>
        </w:tc>
      </w:tr>
    </w:tbl>
    <w:p>
      <w:pPr>
        <w:spacing w:after="1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auto" w:sz="4"/>
          <w:insideV w:val="single" w:color="auto" w:sz="4"/>
        </w:tblBorders>
      </w:tblPr>
      <w:tblGrid>
        <w:gridCol w:w="9740"/>
      </w:tblGrid>
      <w:tr>
        <w:tc>
          <w:tcPr>
            <w:tcW w:type="dxa" w:w="9740"/>
            <w:shd w:fill="FFFFFF" w:color="auto" w:val="clear"/>
            <w:tcMar>
              <w:top w:type="dxa" w:w="160"/>
              <w:left w:type="dxa" w:w="200"/>
              <w:bottom w:type="dxa" w:w="160"/>
              <w:right w:type="dxa" w:w="200"/>
            </w:tcMar>
          </w:tcPr>
          <w:p>
            <w:pPr>
              <w:spacing w:after="80"/>
            </w:pPr>
            <w:r>
              <w:rPr>
                <w:b/>
                <w:bCs/>
                <w:color w:val="004976"/>
                <w:sz w:val="15"/>
                <w:szCs w:val="15"/>
              </w:rPr>
              <w:t xml:space="preserve">AS PRESENTED TO EDUCATORS</w:t>
            </w:r>
          </w:p>
          <w:p>
            <w:pPr>
              <w:spacing w:after="120"/>
            </w:pPr>
            <w:r>
              <w:rPr>
                <w:color w:val="222222"/>
                <w:sz w:val="19"/>
                <w:szCs w:val="19"/>
              </w:rPr>
              <w:t xml:space="preserve">A mentee you have been working with for a few weeks arrives at your meeting frustrated. A piece of work they care about is not coming together, and a deadline is close. They push it across the table to you, say they are stuck and have tried everything, and ask you to tell them what to change. You can see two or three things you would do differently, and it would be quick to point them out. The mentee looks deflated and short of time.</w:t>
            </w:r>
          </w:p>
          <w:p>
            <w:r>
              <w:rPr>
                <w:b/>
                <w:bCs/>
                <w:color w:val="004976"/>
                <w:sz w:val="19"/>
                <w:szCs w:val="19"/>
              </w:rPr>
              <w:t xml:space="preserve">What do you do in this meeting, and why?</w:t>
            </w:r>
          </w:p>
        </w:tc>
      </w:tr>
    </w:tbl>
    <w:p>
      <w:pPr>
        <w:spacing w:after="40" w:before="160"/>
      </w:pPr>
      <w:r>
        <w:rPr>
          <w:b/>
          <w:bCs/>
          <w:color w:val="893B67"/>
          <w:sz w:val="15"/>
          <w:szCs w:val="15"/>
        </w:rPr>
        <w:t xml:space="preserve">FACILITATOR NOTES</w:t>
      </w:r>
    </w:p>
    <w:p>
      <w:pPr>
        <w:spacing w:after="0" w:before="40"/>
      </w:pPr>
      <w:r>
        <w:rPr>
          <w:b/>
          <w:bCs/>
          <w:color w:val="004976"/>
          <w:sz w:val="19"/>
          <w:szCs w:val="19"/>
        </w:rPr>
        <w:t xml:space="preserve">What this tests.  </w:t>
      </w:r>
      <w:r>
        <w:rPr>
          <w:color w:val="222222"/>
          <w:sz w:val="19"/>
          <w:szCs w:val="19"/>
        </w:rPr>
        <w:t xml:space="preserve">The everyday pull to solve a problem for a mentee because it is quicker and they are asking you to. It is low-stakes and common, which is why it works as the first thing educators see: the counter-intuitive answer, that doing less is doing more, is easiest to feel here.</w:t>
      </w:r>
    </w:p>
    <w:p>
      <w:pPr>
        <w:spacing w:after="0" w:before="120"/>
      </w:pPr>
      <w:r>
        <w:rPr>
          <w:b/>
          <w:bCs/>
          <w:color w:val="004976"/>
          <w:sz w:val="19"/>
          <w:szCs w:val="19"/>
        </w:rPr>
        <w:t xml:space="preserve">A strong response  </w:t>
      </w:r>
      <w:r>
        <w:rPr>
          <w:color w:val="222222"/>
          <w:sz w:val="19"/>
          <w:szCs w:val="19"/>
        </w:rPr>
        <w:t xml:space="preserve">hands the thinking back with a light structure: help them name exactly where they are stuck, look at a couple of options, and choose their own next step. Tools are offered as options, not instructions. The mentor is clear that a fix handed over now is one the mentee cannot repeat when the mentor is not there.</w:t>
      </w:r>
    </w:p>
    <w:p>
      <w:pPr>
        <w:spacing w:after="0" w:before="120"/>
      </w:pPr>
      <w:r>
        <w:rPr>
          <w:b/>
          <w:bCs/>
          <w:color w:val="004976"/>
          <w:sz w:val="19"/>
          <w:szCs w:val="19"/>
        </w:rPr>
        <w:t xml:space="preserve">Common weak responses  </w:t>
      </w:r>
      <w:r>
        <w:rPr>
          <w:color w:val="222222"/>
          <w:sz w:val="19"/>
          <w:szCs w:val="19"/>
        </w:rPr>
        <w:t xml:space="preserve">take the work and correct it, or reel off the two or three changes. It feels generous and the mentee leaves happier, but nothing was built. Watch also for false coaching: asking questions that are really instructions in disguise.</w:t>
      </w:r>
    </w:p>
    <w:p>
      <w:pPr>
        <w:spacing w:after="0" w:before="120"/>
      </w:pPr>
      <w:r>
        <w:rPr>
          <w:b/>
          <w:bCs/>
          <w:color w:val="004976"/>
          <w:sz w:val="19"/>
          <w:szCs w:val="19"/>
        </w:rPr>
        <w:t xml:space="preserve">Draws on  </w:t>
      </w:r>
      <w:r>
        <w:rPr>
          <w:color w:val="222222"/>
          <w:sz w:val="19"/>
          <w:szCs w:val="19"/>
        </w:rPr>
        <w:t xml:space="preserve">Coach, don’t rescue; Give feedback that moves the learner forward.</w:t>
      </w:r>
    </w:p>
    <w:p>
      <w:pPr>
        <w:spacing w:after="0" w:before="120"/>
      </w:pPr>
      <w:r>
        <w:rPr>
          <w:b/>
          <w:bCs/>
          <w:color w:val="004976"/>
          <w:sz w:val="19"/>
          <w:szCs w:val="19"/>
        </w:rPr>
        <w:t xml:space="preserve">Use in Session 1.  </w:t>
      </w:r>
      <w:r>
        <w:rPr>
          <w:color w:val="222222"/>
          <w:sz w:val="19"/>
          <w:szCs w:val="19"/>
        </w:rPr>
        <w:t xml:space="preserve">Run it live, then name the stance out loud: this is the default, and it runs under almost everything a mentor does. The rest of the module is about holding it, and knowing when to drop it.</w:t>
      </w:r>
    </w:p>
    <w:p>
      <w:pPr>
        <w:spacing w:after="2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820"/>
        <w:gridCol w:w="8920"/>
      </w:tblGrid>
      <w:tr>
        <w:tc>
          <w:tcPr>
            <w:tcW w:type="dxa" w:w="820"/>
            <w:shd w:fill="004976" w:color="auto" w:val="clear"/>
            <w:vAlign w:val="center"/>
          </w:tcPr>
          <w:p>
            <w:pPr>
              <w:jc w:val="center"/>
            </w:pPr>
            <w:r>
              <w:rPr>
                <w:rFonts w:ascii="Roboto" w:cs="Roboto" w:eastAsia="Roboto" w:hAnsi="Roboto"/>
                <w:b/>
                <w:bCs/>
                <w:color w:val="FFFFFF"/>
                <w:sz w:val="26"/>
                <w:szCs w:val="26"/>
              </w:rPr>
              <w:t xml:space="preserve">1</w:t>
            </w:r>
          </w:p>
        </w:tc>
        <w:tc>
          <w:tcPr>
            <w:tcW w:type="dxa" w:w="8920"/>
            <w:shd w:fill="004976" w:color="auto" w:val="clear"/>
            <w:tcMar>
              <w:top w:type="dxa" w:w="110"/>
              <w:left w:type="dxa" w:w="200"/>
              <w:bottom w:type="dxa" w:w="110"/>
              <w:right w:type="dxa" w:w="150"/>
            </w:tcMar>
            <w:vAlign w:val="center"/>
          </w:tcPr>
          <w:p>
            <w:r>
              <w:rPr>
                <w:rFonts w:ascii="Roboto" w:cs="Roboto" w:eastAsia="Roboto" w:hAnsi="Roboto"/>
                <w:b/>
                <w:bCs/>
                <w:color w:val="FFFFFF"/>
                <w:sz w:val="24"/>
                <w:szCs w:val="24"/>
              </w:rPr>
              <w:t xml:space="preserve">Assessment scenario 1</w:t>
            </w:r>
          </w:p>
          <w:p>
            <w:r>
              <w:rPr>
                <w:rFonts w:ascii="Roboto" w:cs="Roboto" w:eastAsia="Roboto" w:hAnsi="Roboto"/>
                <w:color w:val="FFFFFF"/>
                <w:sz w:val="17"/>
                <w:szCs w:val="17"/>
              </w:rPr>
              <w:t xml:space="preserve">For independent response</w:t>
            </w:r>
          </w:p>
        </w:tc>
      </w:tr>
    </w:tbl>
    <w:p>
      <w:pPr>
        <w:spacing w:after="1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auto" w:sz="4"/>
          <w:insideV w:val="single" w:color="auto" w:sz="4"/>
        </w:tblBorders>
      </w:tblPr>
      <w:tblGrid>
        <w:gridCol w:w="9740"/>
      </w:tblGrid>
      <w:tr>
        <w:tc>
          <w:tcPr>
            <w:tcW w:type="dxa" w:w="9740"/>
            <w:shd w:fill="FFFFFF" w:color="auto" w:val="clear"/>
            <w:tcMar>
              <w:top w:type="dxa" w:w="160"/>
              <w:left w:type="dxa" w:w="200"/>
              <w:bottom w:type="dxa" w:w="160"/>
              <w:right w:type="dxa" w:w="200"/>
            </w:tcMar>
          </w:tcPr>
          <w:p>
            <w:pPr>
              <w:spacing w:after="80"/>
            </w:pPr>
            <w:r>
              <w:rPr>
                <w:b/>
                <w:bCs/>
                <w:color w:val="004976"/>
                <w:sz w:val="15"/>
                <w:szCs w:val="15"/>
              </w:rPr>
              <w:t xml:space="preserve">AS PRESENTED TO EDUCATORS</w:t>
            </w:r>
          </w:p>
          <w:p>
            <w:pPr>
              <w:spacing w:after="120"/>
            </w:pPr>
            <w:r>
              <w:rPr>
                <w:color w:val="222222"/>
                <w:sz w:val="19"/>
                <w:szCs w:val="19"/>
              </w:rPr>
              <w:t xml:space="preserve">Over a couple of meetings, a mentee has mentioned they are finding things hard to juggle. Today they say they are overwhelmed: too much on, not sleeping well, falling behind, and they do not know where to start. They are not in any danger, but they are clearly under strain, and they seem to be looking to you to sort it out for them. You have a good relationship and they trust you.</w:t>
            </w:r>
          </w:p>
          <w:p>
            <w:r>
              <w:rPr>
                <w:b/>
                <w:bCs/>
                <w:color w:val="004976"/>
                <w:sz w:val="19"/>
                <w:szCs w:val="19"/>
              </w:rPr>
              <w:t xml:space="preserve">How do you respond, and what do you do next?</w:t>
            </w:r>
          </w:p>
        </w:tc>
      </w:tr>
    </w:tbl>
    <w:p>
      <w:pPr>
        <w:spacing w:after="40" w:before="160"/>
      </w:pPr>
      <w:r>
        <w:rPr>
          <w:b/>
          <w:bCs/>
          <w:color w:val="893B67"/>
          <w:sz w:val="15"/>
          <w:szCs w:val="15"/>
        </w:rPr>
        <w:t xml:space="preserve">FACILITATOR NOTES</w:t>
      </w:r>
    </w:p>
    <w:p>
      <w:pPr>
        <w:spacing w:after="0" w:before="40"/>
      </w:pPr>
      <w:r>
        <w:rPr>
          <w:b/>
          <w:bCs/>
          <w:color w:val="004976"/>
          <w:sz w:val="19"/>
          <w:szCs w:val="19"/>
        </w:rPr>
        <w:t xml:space="preserve">What this tests.  </w:t>
      </w:r>
      <w:r>
        <w:rPr>
          <w:color w:val="222222"/>
          <w:sz w:val="19"/>
          <w:szCs w:val="19"/>
        </w:rPr>
        <w:t xml:space="preserve">Whether an educator can hold the coaching stance when the pull is emotional rather than practical, and whether they can tell coachable strain apart from a safeguarding matter. This one is coachable. It is placed next to Scenario 2 on purpose.</w:t>
      </w:r>
    </w:p>
    <w:p>
      <w:pPr>
        <w:spacing w:after="0" w:before="120"/>
      </w:pPr>
      <w:r>
        <w:rPr>
          <w:b/>
          <w:bCs/>
          <w:color w:val="004976"/>
          <w:sz w:val="19"/>
          <w:szCs w:val="19"/>
        </w:rPr>
        <w:t xml:space="preserve">A strong response  </w:t>
      </w:r>
      <w:r>
        <w:rPr>
          <w:color w:val="222222"/>
          <w:sz w:val="19"/>
          <w:szCs w:val="19"/>
        </w:rPr>
        <w:t xml:space="preserve">coaches the mentee to build a strategy they own: name the challenge, look honestly at where they are, break it down, choose one next step. Coping tools are offered as options. The mentor keeps a light check-in going in later meetings, notes what matters, and keeps half an eye on whether this is easing or deepening. It holds the possibility that if it deepens it may later need more than coaching, without treating it as that now.</w:t>
      </w:r>
    </w:p>
    <w:p>
      <w:pPr>
        <w:spacing w:after="0" w:before="120"/>
      </w:pPr>
      <w:r>
        <w:rPr>
          <w:b/>
          <w:bCs/>
          <w:color w:val="004976"/>
          <w:sz w:val="19"/>
          <w:szCs w:val="19"/>
        </w:rPr>
        <w:t xml:space="preserve">Common weak responses  </w:t>
      </w:r>
      <w:r>
        <w:rPr>
          <w:color w:val="222222"/>
          <w:sz w:val="19"/>
          <w:szCs w:val="19"/>
        </w:rPr>
        <w:t xml:space="preserve">take over and reorganise the mentee’s life for them; wave it away and move on; or over-react and escalate a situation that is not, on what is described, a safeguarding matter. Over-escalation is a judgement error here, not caution.</w:t>
      </w:r>
    </w:p>
    <w:p>
      <w:pPr>
        <w:spacing w:after="0" w:before="120"/>
      </w:pPr>
      <w:r>
        <w:rPr>
          <w:b/>
          <w:bCs/>
          <w:color w:val="004976"/>
          <w:sz w:val="19"/>
          <w:szCs w:val="19"/>
        </w:rPr>
        <w:t xml:space="preserve">Draws on  </w:t>
      </w:r>
      <w:r>
        <w:rPr>
          <w:color w:val="222222"/>
          <w:sz w:val="19"/>
          <w:szCs w:val="19"/>
        </w:rPr>
        <w:t xml:space="preserve">Coach mentees to build their own coping strategies; Build a wellbeing check-in into every meeting.</w:t>
      </w:r>
    </w:p>
    <w:p>
      <w:pPr>
        <w:spacing w:after="0" w:before="120"/>
      </w:pPr>
      <w:r>
        <w:rPr>
          <w:b/>
          <w:bCs/>
          <w:color w:val="004976"/>
          <w:sz w:val="19"/>
          <w:szCs w:val="19"/>
        </w:rPr>
        <w:t xml:space="preserve">Evidences  </w:t>
      </w:r>
      <w:r>
        <w:rPr>
          <w:color w:val="222222"/>
          <w:sz w:val="19"/>
          <w:szCs w:val="19"/>
        </w:rPr>
        <w:t xml:space="preserve">support and clear boundaries, and judgement about when a situation does and does not need more than mentoring.</w:t>
      </w:r>
    </w:p>
    <w:p>
      <w:pPr>
        <w:spacing w:after="2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820"/>
        <w:gridCol w:w="8920"/>
      </w:tblGrid>
      <w:tr>
        <w:tc>
          <w:tcPr>
            <w:tcW w:type="dxa" w:w="820"/>
            <w:shd w:fill="004976" w:color="auto" w:val="clear"/>
            <w:vAlign w:val="center"/>
          </w:tcPr>
          <w:p>
            <w:pPr>
              <w:jc w:val="center"/>
            </w:pPr>
            <w:r>
              <w:rPr>
                <w:rFonts w:ascii="Roboto" w:cs="Roboto" w:eastAsia="Roboto" w:hAnsi="Roboto"/>
                <w:b/>
                <w:bCs/>
                <w:color w:val="FFFFFF"/>
                <w:sz w:val="26"/>
                <w:szCs w:val="26"/>
              </w:rPr>
              <w:t xml:space="preserve">2</w:t>
            </w:r>
          </w:p>
        </w:tc>
        <w:tc>
          <w:tcPr>
            <w:tcW w:type="dxa" w:w="8920"/>
            <w:shd w:fill="004976" w:color="auto" w:val="clear"/>
            <w:tcMar>
              <w:top w:type="dxa" w:w="110"/>
              <w:left w:type="dxa" w:w="200"/>
              <w:bottom w:type="dxa" w:w="110"/>
              <w:right w:type="dxa" w:w="150"/>
            </w:tcMar>
            <w:vAlign w:val="center"/>
          </w:tcPr>
          <w:p>
            <w:r>
              <w:rPr>
                <w:rFonts w:ascii="Roboto" w:cs="Roboto" w:eastAsia="Roboto" w:hAnsi="Roboto"/>
                <w:b/>
                <w:bCs/>
                <w:color w:val="FFFFFF"/>
                <w:sz w:val="24"/>
                <w:szCs w:val="24"/>
              </w:rPr>
              <w:t xml:space="preserve">Assessment scenario 2</w:t>
            </w:r>
          </w:p>
          <w:p>
            <w:r>
              <w:rPr>
                <w:rFonts w:ascii="Roboto" w:cs="Roboto" w:eastAsia="Roboto" w:hAnsi="Roboto"/>
                <w:color w:val="FFFFFF"/>
                <w:sz w:val="17"/>
                <w:szCs w:val="17"/>
              </w:rPr>
              <w:t xml:space="preserve">For independent response</w:t>
            </w:r>
          </w:p>
        </w:tc>
      </w:tr>
    </w:tbl>
    <w:p>
      <w:pPr>
        <w:spacing w:after="1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auto" w:sz="4"/>
          <w:insideV w:val="single" w:color="auto" w:sz="4"/>
        </w:tblBorders>
      </w:tblPr>
      <w:tblGrid>
        <w:gridCol w:w="9740"/>
      </w:tblGrid>
      <w:tr>
        <w:tc>
          <w:tcPr>
            <w:tcW w:type="dxa" w:w="9740"/>
            <w:shd w:fill="FFFFFF" w:color="auto" w:val="clear"/>
            <w:tcMar>
              <w:top w:type="dxa" w:w="160"/>
              <w:left w:type="dxa" w:w="200"/>
              <w:bottom w:type="dxa" w:w="160"/>
              <w:right w:type="dxa" w:w="200"/>
            </w:tcMar>
          </w:tcPr>
          <w:p>
            <w:pPr>
              <w:spacing w:after="80"/>
            </w:pPr>
            <w:r>
              <w:rPr>
                <w:b/>
                <w:bCs/>
                <w:color w:val="004976"/>
                <w:sz w:val="15"/>
                <w:szCs w:val="15"/>
              </w:rPr>
              <w:t xml:space="preserve">AS PRESENTED TO EDUCATORS</w:t>
            </w:r>
          </w:p>
          <w:p>
            <w:pPr>
              <w:spacing w:after="120"/>
            </w:pPr>
            <w:r>
              <w:rPr>
                <w:color w:val="222222"/>
                <w:sz w:val="19"/>
                <w:szCs w:val="19"/>
              </w:rPr>
              <w:t xml:space="preserve">You are talking with a mentee about why they have missed several meetings recently. As they explain, they tell you something about what is happening at home. What they describe worries you: it sounds as though they may not be safe. They have not told anyone else, and near the end they ask you not to repeat it to anyone, because they are frightened of what will happen if you do.</w:t>
            </w:r>
          </w:p>
          <w:p>
            <w:r>
              <w:rPr>
                <w:b/>
                <w:bCs/>
                <w:color w:val="004976"/>
                <w:sz w:val="19"/>
                <w:szCs w:val="19"/>
              </w:rPr>
              <w:t xml:space="preserve">What do you do, in the meeting and afterwards?</w:t>
            </w:r>
          </w:p>
        </w:tc>
      </w:tr>
    </w:tbl>
    <w:p>
      <w:pPr>
        <w:spacing w:after="40" w:before="160"/>
      </w:pPr>
      <w:r>
        <w:rPr>
          <w:b/>
          <w:bCs/>
          <w:color w:val="893B67"/>
          <w:sz w:val="15"/>
          <w:szCs w:val="15"/>
        </w:rPr>
        <w:t xml:space="preserve">FACILITATOR NOTES</w:t>
      </w:r>
    </w:p>
    <w:p>
      <w:pPr>
        <w:spacing w:after="0" w:before="40"/>
      </w:pPr>
      <w:r>
        <w:rPr>
          <w:b/>
          <w:bCs/>
          <w:color w:val="004976"/>
          <w:sz w:val="19"/>
          <w:szCs w:val="19"/>
        </w:rPr>
        <w:t xml:space="preserve">What this tests.  </w:t>
      </w:r>
      <w:r>
        <w:rPr>
          <w:color w:val="222222"/>
          <w:sz w:val="19"/>
          <w:szCs w:val="19"/>
        </w:rPr>
        <w:t xml:space="preserve">Whether an educator recognises the point where coaching stops. On the surface this looks like another mentee in difficulty who trusts you; the difference is the indication that they may not be safe, and the request for secrecy. Coaching them to cope would be the wrong move.</w:t>
      </w:r>
    </w:p>
    <w:p>
      <w:pPr>
        <w:spacing w:after="0" w:before="120"/>
      </w:pPr>
      <w:r>
        <w:rPr>
          <w:b/>
          <w:bCs/>
          <w:color w:val="004976"/>
          <w:sz w:val="19"/>
          <w:szCs w:val="19"/>
        </w:rPr>
        <w:t xml:space="preserve">A strong response  </w:t>
      </w:r>
      <w:r>
        <w:rPr>
          <w:color w:val="222222"/>
          <w:sz w:val="19"/>
          <w:szCs w:val="19"/>
        </w:rPr>
        <w:t xml:space="preserve">stays calm and lets them speak; takes them seriously; does not interrogate or dig for detail; does not promise secrecy, but gently explains what has to happen next and why, so nothing feels like a betrayal; reassures them that telling you was right. Then it follows the educator’s own setting’s policy: record factually and refer to the designated lead promptly. A strong response also notices that this is hard to carry and would use the setting’s support afterwards.</w:t>
      </w:r>
    </w:p>
    <w:p>
      <w:pPr>
        <w:spacing w:after="0" w:before="120"/>
      </w:pPr>
      <w:r>
        <w:rPr>
          <w:b/>
          <w:bCs/>
          <w:color w:val="004976"/>
          <w:sz w:val="19"/>
          <w:szCs w:val="19"/>
        </w:rPr>
        <w:t xml:space="preserve">Common weak responses  </w:t>
      </w:r>
      <w:r>
        <w:rPr>
          <w:color w:val="222222"/>
          <w:sz w:val="19"/>
          <w:szCs w:val="19"/>
        </w:rPr>
        <w:t xml:space="preserve">promise to keep it secret; try to handle or counsel it alone; press for details; coach the mentee to manage it; or do nothing. Treating it like Scenario 1 is the central failure this scenario is built to surface.</w:t>
      </w:r>
    </w:p>
    <w:p>
      <w:pPr>
        <w:spacing w:after="0" w:before="120"/>
      </w:pPr>
      <w:r>
        <w:rPr>
          <w:b/>
          <w:bCs/>
          <w:color w:val="004976"/>
          <w:sz w:val="19"/>
          <w:szCs w:val="19"/>
        </w:rPr>
        <w:t xml:space="preserve">On procedure.  </w:t>
      </w:r>
      <w:r>
        <w:rPr>
          <w:color w:val="222222"/>
          <w:sz w:val="19"/>
          <w:szCs w:val="19"/>
        </w:rPr>
        <w:t xml:space="preserve">There is no universal procedure, so do not require a named one. Reward recognising the boundary, not promising secrecy, and routing to their own designated lead. A generic answer that skips the recognition and jumps to a slick process is weaker than it looks.</w:t>
      </w:r>
    </w:p>
    <w:p>
      <w:pPr>
        <w:spacing w:after="0" w:before="120"/>
      </w:pPr>
      <w:r>
        <w:rPr>
          <w:b/>
          <w:bCs/>
          <w:color w:val="004976"/>
          <w:sz w:val="19"/>
          <w:szCs w:val="19"/>
        </w:rPr>
        <w:t xml:space="preserve">Draws on  </w:t>
      </w:r>
      <w:r>
        <w:rPr>
          <w:color w:val="222222"/>
          <w:sz w:val="19"/>
          <w:szCs w:val="19"/>
        </w:rPr>
        <w:t xml:space="preserve">Respond well when a mentee discloses; Notice, record and refer a concern; Know your safeguarding policy before you mentor.</w:t>
      </w:r>
    </w:p>
    <w:p>
      <w:pPr>
        <w:spacing w:after="0" w:before="120"/>
      </w:pPr>
      <w:r>
        <w:rPr>
          <w:b/>
          <w:bCs/>
          <w:color w:val="004976"/>
          <w:sz w:val="19"/>
          <w:szCs w:val="19"/>
        </w:rPr>
        <w:t xml:space="preserve">Evidences  </w:t>
      </w:r>
      <w:r>
        <w:rPr>
          <w:color w:val="222222"/>
          <w:sz w:val="19"/>
          <w:szCs w:val="19"/>
        </w:rPr>
        <w:t xml:space="preserve">clear boundaries and knowing when to escalate; this is the scenario that most directly carries the escalation half of the judgement criterion.</w:t>
      </w:r>
    </w:p>
    <w:p>
      <w:pPr>
        <w:spacing w:after="2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820"/>
        <w:gridCol w:w="8920"/>
      </w:tblGrid>
      <w:tr>
        <w:tc>
          <w:tcPr>
            <w:tcW w:type="dxa" w:w="820"/>
            <w:shd w:fill="004976" w:color="auto" w:val="clear"/>
            <w:vAlign w:val="center"/>
          </w:tcPr>
          <w:p>
            <w:pPr>
              <w:jc w:val="center"/>
            </w:pPr>
            <w:r>
              <w:rPr>
                <w:rFonts w:ascii="Roboto" w:cs="Roboto" w:eastAsia="Roboto" w:hAnsi="Roboto"/>
                <w:b/>
                <w:bCs/>
                <w:color w:val="FFFFFF"/>
                <w:sz w:val="26"/>
                <w:szCs w:val="26"/>
              </w:rPr>
              <w:t xml:space="preserve">3</w:t>
            </w:r>
          </w:p>
        </w:tc>
        <w:tc>
          <w:tcPr>
            <w:tcW w:type="dxa" w:w="8920"/>
            <w:shd w:fill="004976" w:color="auto" w:val="clear"/>
            <w:tcMar>
              <w:top w:type="dxa" w:w="110"/>
              <w:left w:type="dxa" w:w="200"/>
              <w:bottom w:type="dxa" w:w="110"/>
              <w:right w:type="dxa" w:w="150"/>
            </w:tcMar>
            <w:vAlign w:val="center"/>
          </w:tcPr>
          <w:p>
            <w:r>
              <w:rPr>
                <w:rFonts w:ascii="Roboto" w:cs="Roboto" w:eastAsia="Roboto" w:hAnsi="Roboto"/>
                <w:b/>
                <w:bCs/>
                <w:color w:val="FFFFFF"/>
                <w:sz w:val="24"/>
                <w:szCs w:val="24"/>
              </w:rPr>
              <w:t xml:space="preserve">Assessment scenario 3</w:t>
            </w:r>
          </w:p>
          <w:p>
            <w:r>
              <w:rPr>
                <w:rFonts w:ascii="Roboto" w:cs="Roboto" w:eastAsia="Roboto" w:hAnsi="Roboto"/>
                <w:color w:val="FFFFFF"/>
                <w:sz w:val="17"/>
                <w:szCs w:val="17"/>
              </w:rPr>
              <w:t xml:space="preserve">For independent response</w:t>
            </w:r>
          </w:p>
        </w:tc>
      </w:tr>
    </w:tbl>
    <w:p>
      <w:pPr>
        <w:spacing w:after="12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auto" w:sz="4"/>
          <w:insideV w:val="single" w:color="auto" w:sz="4"/>
        </w:tblBorders>
      </w:tblPr>
      <w:tblGrid>
        <w:gridCol w:w="9740"/>
      </w:tblGrid>
      <w:tr>
        <w:tc>
          <w:tcPr>
            <w:tcW w:type="dxa" w:w="9740"/>
            <w:shd w:fill="FFFFFF" w:color="auto" w:val="clear"/>
            <w:tcMar>
              <w:top w:type="dxa" w:w="160"/>
              <w:left w:type="dxa" w:w="200"/>
              <w:bottom w:type="dxa" w:w="160"/>
              <w:right w:type="dxa" w:w="200"/>
            </w:tcMar>
          </w:tcPr>
          <w:p>
            <w:pPr>
              <w:spacing w:after="80"/>
            </w:pPr>
            <w:r>
              <w:rPr>
                <w:b/>
                <w:bCs/>
                <w:color w:val="004976"/>
                <w:sz w:val="15"/>
                <w:szCs w:val="15"/>
              </w:rPr>
              <w:t xml:space="preserve">AS PRESENTED TO EDUCATORS</w:t>
            </w:r>
          </w:p>
          <w:p>
            <w:pPr>
              <w:spacing w:after="120"/>
            </w:pPr>
            <w:r>
              <w:rPr>
                <w:color w:val="222222"/>
                <w:sz w:val="19"/>
                <w:szCs w:val="19"/>
              </w:rPr>
              <w:t xml:space="preserve">A mentee is coming to the end of their time with you and is deciding what to do next. You can see a strong option for them, one you are fairly sure would suit them, and you have contacts who could help open that door. When you talk about their future, though, the mentee keeps returning to a different path, one you are less sure about and that feels riskier to you. They seem to hesitate when you steer them towards your option.</w:t>
            </w:r>
          </w:p>
          <w:p>
            <w:r>
              <w:rPr>
                <w:b/>
                <w:bCs/>
                <w:color w:val="004976"/>
                <w:sz w:val="19"/>
                <w:szCs w:val="19"/>
              </w:rPr>
              <w:t xml:space="preserve">How do you handle the conversation about their future?</w:t>
            </w:r>
          </w:p>
        </w:tc>
      </w:tr>
    </w:tbl>
    <w:p>
      <w:pPr>
        <w:spacing w:after="40" w:before="160"/>
      </w:pPr>
      <w:r>
        <w:rPr>
          <w:b/>
          <w:bCs/>
          <w:color w:val="893B67"/>
          <w:sz w:val="15"/>
          <w:szCs w:val="15"/>
        </w:rPr>
        <w:t xml:space="preserve">FACILITATOR NOTES</w:t>
      </w:r>
    </w:p>
    <w:p>
      <w:pPr>
        <w:spacing w:after="0" w:before="40"/>
      </w:pPr>
      <w:r>
        <w:rPr>
          <w:b/>
          <w:bCs/>
          <w:color w:val="004976"/>
          <w:sz w:val="19"/>
          <w:szCs w:val="19"/>
        </w:rPr>
        <w:t xml:space="preserve">What this tests.  </w:t>
      </w:r>
      <w:r>
        <w:rPr>
          <w:color w:val="222222"/>
          <w:sz w:val="19"/>
          <w:szCs w:val="19"/>
        </w:rPr>
        <w:t xml:space="preserve">Whether an educator keeps a mentee the author of their own future when the mentor is genuinely more experienced and has real doors to open. The pull here is not laziness or emotion; it is well-meant certainty, which is harder to notice in yourself.</w:t>
      </w:r>
    </w:p>
    <w:p>
      <w:pPr>
        <w:spacing w:after="0" w:before="120"/>
      </w:pPr>
      <w:r>
        <w:rPr>
          <w:b/>
          <w:bCs/>
          <w:color w:val="004976"/>
          <w:sz w:val="19"/>
          <w:szCs w:val="19"/>
        </w:rPr>
        <w:t xml:space="preserve">A strong response  </w:t>
      </w:r>
      <w:r>
        <w:rPr>
          <w:color w:val="222222"/>
          <w:sz w:val="19"/>
          <w:szCs w:val="19"/>
        </w:rPr>
        <w:t xml:space="preserve">keeps the choice theirs: helps them weigh both paths honestly, is transparent about the mentor’s own view and contacts without letting either override, and opens doors on the path the mentee chooses, not the one the mentor would choose. It treats the hesitation as something to listen to, not to overcome.</w:t>
      </w:r>
    </w:p>
    <w:p>
      <w:pPr>
        <w:spacing w:after="0" w:before="120"/>
      </w:pPr>
      <w:r>
        <w:rPr>
          <w:b/>
          <w:bCs/>
          <w:color w:val="004976"/>
          <w:sz w:val="19"/>
          <w:szCs w:val="19"/>
        </w:rPr>
        <w:t xml:space="preserve">Common weak responses  </w:t>
      </w:r>
      <w:r>
        <w:rPr>
          <w:color w:val="222222"/>
          <w:sz w:val="19"/>
          <w:szCs w:val="19"/>
        </w:rPr>
        <w:t xml:space="preserve">steer the mentee onto the mentor’s preferred option, deploy contacts to nudge them, or frame their reluctance as a problem to be talked round. The help quietly becomes control. A mentor doing this often believes they are being supportive.</w:t>
      </w:r>
    </w:p>
    <w:p>
      <w:pPr>
        <w:spacing w:after="0" w:before="120"/>
      </w:pPr>
      <w:r>
        <w:rPr>
          <w:b/>
          <w:bCs/>
          <w:color w:val="004976"/>
          <w:sz w:val="19"/>
          <w:szCs w:val="19"/>
        </w:rPr>
        <w:t xml:space="preserve">Draws on  </w:t>
      </w:r>
      <w:r>
        <w:rPr>
          <w:color w:val="222222"/>
          <w:sz w:val="19"/>
          <w:szCs w:val="19"/>
        </w:rPr>
        <w:t xml:space="preserve">Hold regular pathways conversations; Help mentees open and walk through doors.</w:t>
      </w:r>
    </w:p>
    <w:p>
      <w:pPr>
        <w:spacing w:after="0" w:before="120"/>
      </w:pPr>
      <w:r>
        <w:rPr>
          <w:b/>
          <w:bCs/>
          <w:color w:val="004976"/>
          <w:sz w:val="19"/>
          <w:szCs w:val="19"/>
        </w:rPr>
        <w:t xml:space="preserve">Evidences  </w:t>
      </w:r>
      <w:r>
        <w:rPr>
          <w:color w:val="222222"/>
          <w:sz w:val="19"/>
          <w:szCs w:val="19"/>
        </w:rPr>
        <w:t xml:space="preserve">appropriate support with clear boundaries around whose decision it is; the surface is different from the other scenarios on purpose, so educators cannot pattern-match distress to a fixed answer.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7999B"/>
        <w:sz w:val="15"/>
        <w:szCs w:val="15"/>
      </w:rPr>
      <w:t xml:space="preserve">Amala Education for Change   ·   Being a mentor   ·   Mentoring Scenarios (Facilitator set)      </w:t>
    </w:r>
    <w:r>
      <w:rPr>
        <w:color w:val="97999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22222"/>
        <w:sz w:val="19"/>
        <w:szCs w:val="19"/>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Mentoring Scenarios</dc:title>
  <dc:creator>Amala Education for Change</dc:creator>
  <cp:lastModifiedBy>Un-named</cp:lastModifiedBy>
  <cp:revision>1</cp:revision>
  <dcterms:created xsi:type="dcterms:W3CDTF">2026-08-04T06:27:24.919Z</dcterms:created>
  <dcterms:modified xsi:type="dcterms:W3CDTF">2026-08-04T06:27:24.932Z</dcterms:modified>
</cp:coreProperties>
</file>

<file path=docProps/custom.xml><?xml version="1.0" encoding="utf-8"?>
<Properties xmlns="http://schemas.openxmlformats.org/officeDocument/2006/custom-properties" xmlns:vt="http://schemas.openxmlformats.org/officeDocument/2006/docPropsVTypes"/>
</file>