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Roboto" w:cs="Roboto" w:eastAsia="Roboto" w:hAnsi="Roboto"/>
          <w:b/>
          <w:bCs/>
          <w:color w:val="004976"/>
          <w:sz w:val="38"/>
          <w:szCs w:val="38"/>
        </w:rPr>
        <w:t xml:space="preserve">Being a mentor</w:t>
      </w:r>
    </w:p>
    <w:p>
      <w:pPr>
        <w:spacing w:after="200"/>
      </w:pPr>
      <w:r>
        <w:rPr>
          <w:rFonts w:ascii="Roboto" w:cs="Roboto" w:eastAsia="Roboto" w:hAnsi="Roboto"/>
          <w:color w:val="555555"/>
          <w:sz w:val="20"/>
          <w:szCs w:val="20"/>
        </w:rPr>
        <w:t xml:space="preserve">Module sign-off guide</w:t>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9740"/>
      </w:tblGrid>
      <w:tr>
        <w:tc>
          <w:tcPr>
            <w:tcW w:type="dxa" w:w="9740"/>
            <w:tcMar>
              <w:top w:type="dxa" w:w="130"/>
              <w:left w:type="dxa" w:w="170"/>
              <w:bottom w:type="dxa" w:w="130"/>
              <w:right w:type="dxa" w:w="170"/>
            </w:tcMar>
          </w:tcPr>
          <w:p>
            <w:r>
              <w:rPr>
                <w:rFonts w:ascii="Lato" w:cs="Lato" w:eastAsia="Lato" w:hAnsi="Lato"/>
                <w:b/>
                <w:bCs/>
                <w:color w:val="222222"/>
                <w:sz w:val="19"/>
                <w:szCs w:val="19"/>
              </w:rPr>
              <w:t xml:space="preserve">What sign-off is  </w:t>
            </w:r>
            <w:r>
              <w:rPr>
                <w:rFonts w:ascii="Lato" w:cs="Lato" w:eastAsia="Lato" w:hAnsi="Lato"/>
                <w:color w:val="222222"/>
                <w:sz w:val="19"/>
                <w:szCs w:val="19"/>
              </w:rPr>
              <w:t xml:space="preserve">Sign-off is how a trainer confirms that an educator has met the standard for this module. It is based on the mentoring plan and scenario responses the educator produces during the training. There is no observed teaching and no separate sign-off conversation at this stage: the judgement is made from what the educator submits. A pass means the educator holds the Being a mentor module, which is recorded in the qualification register and travels with them across Amala programmes.</w:t>
            </w:r>
          </w:p>
        </w:tc>
      </w:tr>
    </w:tbl>
    <w:p>
      <w:pPr>
        <w:spacing w:after="140"/>
      </w:pPr>
      <w:r>
        <w:rPr>
          <w:rFonts w:ascii="Lato" w:cs="Lato" w:eastAsia="Lato" w:hAnsi="Lato"/>
          <w:color w:val="222222"/>
          <w:sz w:val="19"/>
          <w:szCs w:val="19"/>
        </w:rPr>
        <w:t xml:space="preserve"/>
      </w:r>
    </w:p>
    <w:p>
      <w:pPr>
        <w:spacing w:after="90" w:before="200"/>
      </w:pPr>
      <w:r>
        <w:rPr>
          <w:rFonts w:ascii="Roboto" w:cs="Roboto" w:eastAsia="Roboto" w:hAnsi="Roboto"/>
          <w:b/>
          <w:bCs/>
          <w:color w:val="004976"/>
          <w:sz w:val="23"/>
          <w:szCs w:val="23"/>
        </w:rPr>
        <w:t xml:space="preserve">What the educator submits</w:t>
      </w:r>
    </w:p>
    <w:p>
      <w:pPr>
        <w:spacing w:after="80"/>
      </w:pPr>
      <w:r>
        <w:rPr>
          <w:rFonts w:ascii="Lato" w:cs="Lato" w:eastAsia="Lato" w:hAnsi="Lato"/>
          <w:color w:val="222222"/>
          <w:sz w:val="19"/>
          <w:szCs w:val="19"/>
        </w:rPr>
        <w:t xml:space="preserve">By the end of the training, the educator submits:</w:t>
      </w:r>
    </w:p>
    <w:p>
      <w:pPr>
        <w:pStyle w:val="ListParagraph"/>
        <w:numPr>
          <w:ilvl w:val="0"/>
          <w:numId w:val="1"/>
        </w:numPr>
        <w:spacing w:after="60"/>
      </w:pPr>
      <w:r>
        <w:rPr>
          <w:rFonts w:ascii="Lato" w:cs="Lato" w:eastAsia="Lato" w:hAnsi="Lato"/>
          <w:color w:val="222222"/>
          <w:sz w:val="19"/>
          <w:szCs w:val="19"/>
        </w:rPr>
        <w:t xml:space="preserve">a mentoring plan for a learner they mentor, or are about to (Sections 1 to 3 of their Mentoring Plan and Record);</w:t>
      </w:r>
    </w:p>
    <w:p>
      <w:pPr>
        <w:pStyle w:val="ListParagraph"/>
        <w:numPr>
          <w:ilvl w:val="0"/>
          <w:numId w:val="1"/>
        </w:numPr>
        <w:spacing w:after="60"/>
      </w:pPr>
      <w:r>
        <w:rPr>
          <w:rFonts w:ascii="Lato" w:cs="Lato" w:eastAsia="Lato" w:hAnsi="Lato"/>
          <w:color w:val="222222"/>
          <w:sz w:val="19"/>
          <w:szCs w:val="19"/>
        </w:rPr>
        <w:t xml:space="preserve">written responses to the mentoring scenarios provided in the module.</w:t>
      </w:r>
    </w:p>
    <w:p>
      <w:pPr>
        <w:spacing w:after="140"/>
      </w:pPr>
      <w:r>
        <w:rPr>
          <w:rFonts w:ascii="Lato" w:cs="Lato" w:eastAsia="Lato" w:hAnsi="Lato"/>
          <w:color w:val="222222"/>
          <w:sz w:val="19"/>
          <w:szCs w:val="19"/>
        </w:rPr>
        <w:t xml:space="preserve"/>
      </w:r>
    </w:p>
    <w:p>
      <w:pPr>
        <w:spacing w:after="90" w:before="200"/>
      </w:pPr>
      <w:r>
        <w:rPr>
          <w:rFonts w:ascii="Roboto" w:cs="Roboto" w:eastAsia="Roboto" w:hAnsi="Roboto"/>
          <w:b/>
          <w:bCs/>
          <w:color w:val="004976"/>
          <w:sz w:val="23"/>
          <w:szCs w:val="23"/>
        </w:rPr>
        <w:t xml:space="preserve">How it is assessed</w:t>
      </w:r>
    </w:p>
    <w:p>
      <w:pPr>
        <w:spacing w:after="110"/>
      </w:pPr>
      <w:r>
        <w:rPr>
          <w:rFonts w:ascii="Lato" w:cs="Lato" w:eastAsia="Lato" w:hAnsi="Lato"/>
          <w:color w:val="222222"/>
          <w:sz w:val="19"/>
          <w:szCs w:val="19"/>
        </w:rPr>
        <w:t xml:space="preserve">The trainer reviews the plan and the scenario responses against the three criteria below. Each criterion is judged Met or Not yet.</w:t>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6340"/>
      </w:tblGrid>
      <w:tr>
        <w:trPr>
          <w:tblHeader/>
        </w:trPr>
        <w:tc>
          <w:tcPr>
            <w:tcW w:type="dxa" w:w="340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Criterion</w:t>
            </w:r>
          </w:p>
        </w:tc>
        <w:tc>
          <w:tcPr>
            <w:tcW w:type="dxa" w:w="634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What “Met” looks like</w:t>
            </w:r>
          </w:p>
        </w:tc>
      </w:tr>
      <w:tr>
        <w:trPr>
          <w:cantSplit/>
        </w:trPr>
        <w:tc>
          <w:tcPr>
            <w:tcW w:type="dxa" w:w="3400"/>
            <w:tcMar>
              <w:top w:type="dxa" w:w="100"/>
              <w:left w:type="dxa" w:w="160"/>
              <w:bottom w:type="dxa" w:w="100"/>
              <w:right w:type="dxa" w:w="160"/>
            </w:tcMar>
          </w:tcPr>
          <w:p>
            <w:r>
              <w:rPr>
                <w:rFonts w:ascii="Lato" w:cs="Lato" w:eastAsia="Lato" w:hAnsi="Lato"/>
                <w:b/>
                <w:bCs/>
                <w:color w:val="222222"/>
                <w:sz w:val="19"/>
                <w:szCs w:val="19"/>
              </w:rPr>
              <w:t xml:space="preserve">Grounded in the learner and context</w:t>
            </w:r>
          </w:p>
        </w:tc>
        <w:tc>
          <w:tcPr>
            <w:tcW w:type="dxa" w:w="6340"/>
            <w:tcMar>
              <w:top w:type="dxa" w:w="100"/>
              <w:left w:type="dxa" w:w="160"/>
              <w:bottom w:type="dxa" w:w="100"/>
              <w:right w:type="dxa" w:w="160"/>
            </w:tcMar>
          </w:tcPr>
          <w:p>
            <w:r>
              <w:rPr>
                <w:rFonts w:ascii="Lato" w:cs="Lato" w:eastAsia="Lato" w:hAnsi="Lato"/>
                <w:color w:val="222222"/>
                <w:sz w:val="19"/>
                <w:szCs w:val="19"/>
              </w:rPr>
              <w:t xml:space="preserve">The plan is built around a real learner and their needs, including wellbeing and progress, not generic.</w:t>
            </w:r>
          </w:p>
        </w:tc>
      </w:tr>
      <w:tr>
        <w:trPr>
          <w:cantSplit/>
        </w:trPr>
        <w:tc>
          <w:tcPr>
            <w:tcW w:type="dxa" w:w="3400"/>
            <w:tcMar>
              <w:top w:type="dxa" w:w="100"/>
              <w:left w:type="dxa" w:w="160"/>
              <w:bottom w:type="dxa" w:w="100"/>
              <w:right w:type="dxa" w:w="160"/>
            </w:tcMar>
          </w:tcPr>
          <w:p>
            <w:r>
              <w:rPr>
                <w:rFonts w:ascii="Lato" w:cs="Lato" w:eastAsia="Lato" w:hAnsi="Lato"/>
                <w:b/>
                <w:bCs/>
                <w:color w:val="222222"/>
                <w:sz w:val="19"/>
                <w:szCs w:val="19"/>
              </w:rPr>
              <w:t xml:space="preserve">Sound mentoring judgement</w:t>
            </w:r>
          </w:p>
        </w:tc>
        <w:tc>
          <w:tcPr>
            <w:tcW w:type="dxa" w:w="6340"/>
            <w:tcMar>
              <w:top w:type="dxa" w:w="100"/>
              <w:left w:type="dxa" w:w="160"/>
              <w:bottom w:type="dxa" w:w="100"/>
              <w:right w:type="dxa" w:w="160"/>
            </w:tcMar>
          </w:tcPr>
          <w:p>
            <w:r>
              <w:rPr>
                <w:rFonts w:ascii="Lato" w:cs="Lato" w:eastAsia="Lato" w:hAnsi="Lato"/>
                <w:color w:val="222222"/>
                <w:sz w:val="19"/>
                <w:szCs w:val="19"/>
              </w:rPr>
              <w:t xml:space="preserve">The scenario responses show appropriate support, clear boundaries, and knowing when to signpost or escalate.</w:t>
            </w:r>
          </w:p>
        </w:tc>
      </w:tr>
      <w:tr>
        <w:trPr>
          <w:cantSplit/>
        </w:trPr>
        <w:tc>
          <w:tcPr>
            <w:tcW w:type="dxa" w:w="3400"/>
            <w:tcMar>
              <w:top w:type="dxa" w:w="100"/>
              <w:left w:type="dxa" w:w="160"/>
              <w:bottom w:type="dxa" w:w="100"/>
              <w:right w:type="dxa" w:w="160"/>
            </w:tcMar>
          </w:tcPr>
          <w:p>
            <w:r>
              <w:rPr>
                <w:rFonts w:ascii="Lato" w:cs="Lato" w:eastAsia="Lato" w:hAnsi="Lato"/>
                <w:b/>
                <w:bCs/>
                <w:color w:val="222222"/>
                <w:sz w:val="19"/>
                <w:szCs w:val="19"/>
              </w:rPr>
              <w:t xml:space="preserve">Sustained and structured</w:t>
            </w:r>
          </w:p>
        </w:tc>
        <w:tc>
          <w:tcPr>
            <w:tcW w:type="dxa" w:w="6340"/>
            <w:tcMar>
              <w:top w:type="dxa" w:w="100"/>
              <w:left w:type="dxa" w:w="160"/>
              <w:bottom w:type="dxa" w:w="100"/>
              <w:right w:type="dxa" w:w="160"/>
            </w:tcMar>
          </w:tcPr>
          <w:p>
            <w:r>
              <w:rPr>
                <w:rFonts w:ascii="Lato" w:cs="Lato" w:eastAsia="Lato" w:hAnsi="Lato"/>
                <w:color w:val="222222"/>
                <w:sz w:val="19"/>
                <w:szCs w:val="19"/>
              </w:rPr>
              <w:t xml:space="preserve">The plan sets out how progress and wellbeing are tracked and support is maintained over time, not one-off.</w:t>
            </w:r>
          </w:p>
        </w:tc>
      </w:tr>
    </w:tbl>
    <w:p>
      <w:pPr>
        <w:spacing w:after="140"/>
      </w:pPr>
      <w:r>
        <w:rPr>
          <w:rFonts w:ascii="Lato" w:cs="Lato" w:eastAsia="Lato" w:hAnsi="Lato"/>
          <w:color w:val="222222"/>
          <w:sz w:val="19"/>
          <w:szCs w:val="19"/>
        </w:rPr>
        <w:t xml:space="preserve"/>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9740"/>
      </w:tblGrid>
      <w:tr>
        <w:tc>
          <w:tcPr>
            <w:tcW w:type="dxa" w:w="9740"/>
            <w:tcMar>
              <w:top w:type="dxa" w:w="130"/>
              <w:left w:type="dxa" w:w="170"/>
              <w:bottom w:type="dxa" w:w="130"/>
              <w:right w:type="dxa" w:w="170"/>
            </w:tcMar>
          </w:tcPr>
          <w:p>
            <w:r>
              <w:rPr>
                <w:rFonts w:ascii="Lato" w:cs="Lato" w:eastAsia="Lato" w:hAnsi="Lato"/>
                <w:b/>
                <w:bCs/>
                <w:color w:val="222222"/>
                <w:sz w:val="19"/>
                <w:szCs w:val="19"/>
              </w:rPr>
              <w:t xml:space="preserve">The threshold  </w:t>
            </w:r>
            <w:r>
              <w:rPr>
                <w:rFonts w:ascii="Lato" w:cs="Lato" w:eastAsia="Lato" w:hAnsi="Lato"/>
                <w:color w:val="222222"/>
                <w:sz w:val="19"/>
                <w:szCs w:val="19"/>
              </w:rPr>
              <w:t xml:space="preserve">All three criteria Met is a pass. If any criterion is Not yet, the trainer gives specific written feedback and the educator has one resit: a revised submission, with no follow-up call. If the resit is still Not yet, the educator re-enrols on a future cohort.</w:t>
            </w:r>
          </w:p>
        </w:tc>
      </w:tr>
    </w:tbl>
    <w:p>
      <w:pPr>
        <w:spacing w:after="200"/>
      </w:pPr>
      <w:r>
        <w:rPr>
          <w:rFonts w:ascii="Lato" w:cs="Lato" w:eastAsia="Lato" w:hAnsi="Lato"/>
          <w:color w:val="222222"/>
          <w:sz w:val="19"/>
          <w:szCs w:val="19"/>
        </w:rPr>
        <w:t xml:space="preserve"/>
      </w:r>
    </w:p>
    <w:p>
      <w:pPr>
        <w:spacing w:after="90" w:before="200"/>
      </w:pPr>
      <w:r>
        <w:rPr>
          <w:rFonts w:ascii="Roboto" w:cs="Roboto" w:eastAsia="Roboto" w:hAnsi="Roboto"/>
          <w:b/>
          <w:bCs/>
          <w:color w:val="004976"/>
          <w:sz w:val="23"/>
          <w:szCs w:val="23"/>
        </w:rPr>
        <w:t xml:space="preserve">Sign-off record</w:t>
      </w:r>
    </w:p>
    <w:p>
      <w:pPr>
        <w:spacing w:after="110"/>
      </w:pPr>
      <w:r>
        <w:rPr>
          <w:rFonts w:ascii="Lato" w:cs="Lato" w:eastAsia="Lato" w:hAnsi="Lato"/>
          <w:color w:val="222222"/>
          <w:sz w:val="19"/>
          <w:szCs w:val="19"/>
        </w:rPr>
        <w:t xml:space="preserve">The trainer completes one record per educator and files it so the result can be entered in the qualification register.</w:t>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6340"/>
      </w:tblGrid>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Educator name</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Learner planned for (initials or code)</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Cohort / date</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Trainer</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bl>
    <w:p>
      <w:pPr>
        <w:spacing w:after="120"/>
      </w:pPr>
      <w:r>
        <w:rPr>
          <w:rFonts w:ascii="Lato" w:cs="Lato" w:eastAsia="Lato" w:hAnsi="Lato"/>
          <w:color w:val="222222"/>
          <w:sz w:val="19"/>
          <w:szCs w:val="19"/>
        </w:rPr>
        <w:t xml:space="preserve"/>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1400"/>
        <w:gridCol w:w="1600"/>
        <w:gridCol w:w="3340"/>
      </w:tblGrid>
      <w:tr>
        <w:trPr>
          <w:tblHeader/>
        </w:trPr>
        <w:tc>
          <w:tcPr>
            <w:tcW w:type="dxa" w:w="340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Criterion</w:t>
            </w:r>
          </w:p>
        </w:tc>
        <w:tc>
          <w:tcPr>
            <w:tcW w:type="dxa" w:w="140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
            </w:r>
          </w:p>
        </w:tc>
        <w:tc>
          <w:tcPr>
            <w:tcW w:type="dxa" w:w="160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
            </w:r>
          </w:p>
        </w:tc>
        <w:tc>
          <w:tcPr>
            <w:tcW w:type="dxa" w:w="3340"/>
            <w:shd w:fill="ECECEC" w:color="auto" w:val="clear"/>
            <w:tcMar>
              <w:top w:type="dxa" w:w="100"/>
              <w:left w:type="dxa" w:w="160"/>
              <w:bottom w:type="dxa" w:w="100"/>
              <w:right w:type="dxa" w:w="160"/>
            </w:tcMar>
          </w:tcPr>
          <w:p>
            <w:r>
              <w:rPr>
                <w:rFonts w:ascii="Lato" w:cs="Lato" w:eastAsia="Lato" w:hAnsi="Lato"/>
                <w:b/>
                <w:bCs/>
                <w:color w:val="222222"/>
                <w:sz w:val="18"/>
                <w:szCs w:val="18"/>
              </w:rPr>
              <w:t xml:space="preserve">Notes</w:t>
            </w:r>
          </w:p>
        </w:tc>
      </w:tr>
      <w:tr>
        <w:trPr>
          <w:cantSplit/>
          <w:trHeight w:val="620" w:hRule="atLeast"/>
        </w:trPr>
        <w:tc>
          <w:tcPr>
            <w:tcW w:type="dxa" w:w="3400"/>
            <w:tcMar>
              <w:top w:type="dxa" w:w="100"/>
              <w:left w:type="dxa" w:w="160"/>
              <w:bottom w:type="dxa" w:w="100"/>
              <w:right w:type="dxa" w:w="160"/>
            </w:tcMar>
            <w:vAlign w:val="center"/>
          </w:tcPr>
          <w:p>
            <w:r>
              <w:rPr>
                <w:rFonts w:ascii="Lato" w:cs="Lato" w:eastAsia="Lato" w:hAnsi="Lato"/>
                <w:b/>
                <w:bCs/>
                <w:color w:val="222222"/>
                <w:sz w:val="19"/>
                <w:szCs w:val="19"/>
              </w:rPr>
              <w:t xml:space="preserve">Grounded in the learner and context</w:t>
            </w:r>
          </w:p>
        </w:tc>
        <w:tc>
          <w:tcPr>
            <w:tcW w:type="dxa" w:w="1400"/>
            <w:tcMar>
              <w:top w:type="dxa" w:w="100"/>
              <w:left w:type="dxa" w:w="160"/>
              <w:bottom w:type="dxa" w:w="100"/>
              <w:right w:type="dxa" w:w="160"/>
            </w:tcMar>
            <w:vAlign w:val="center"/>
          </w:tcPr>
          <w:p>
            <w:r>
              <w:rPr>
                <w:rFonts w:ascii="Lato" w:cs="Lato" w:eastAsia="Lato" w:hAnsi="Lato"/>
                <w:color w:val="222222"/>
                <w:sz w:val="19"/>
                <w:szCs w:val="19"/>
              </w:rPr>
              <w:t xml:space="preserve">☐  Met</w:t>
            </w:r>
          </w:p>
        </w:tc>
        <w:tc>
          <w:tcPr>
            <w:tcW w:type="dxa" w:w="1600"/>
            <w:tcMar>
              <w:top w:type="dxa" w:w="100"/>
              <w:left w:type="dxa" w:w="160"/>
              <w:bottom w:type="dxa" w:w="100"/>
              <w:right w:type="dxa" w:w="160"/>
            </w:tcMar>
            <w:vAlign w:val="center"/>
          </w:tcPr>
          <w:p>
            <w:r>
              <w:rPr>
                <w:rFonts w:ascii="Lato" w:cs="Lato" w:eastAsia="Lato" w:hAnsi="Lato"/>
                <w:color w:val="222222"/>
                <w:sz w:val="19"/>
                <w:szCs w:val="19"/>
              </w:rPr>
              <w:t xml:space="preserve">☐  Not yet</w:t>
            </w:r>
          </w:p>
        </w:tc>
        <w:tc>
          <w:tcPr>
            <w:tcW w:type="dxa" w:w="3340"/>
            <w:tcMar>
              <w:top w:type="dxa" w:w="100"/>
              <w:left w:type="dxa" w:w="160"/>
              <w:bottom w:type="dxa" w:w="100"/>
              <w:right w:type="dxa" w:w="160"/>
            </w:tcMar>
          </w:tcPr>
          <w:p>
            <w:r>
              <w:rPr>
                <w:rFonts w:ascii="Lato" w:cs="Lato" w:eastAsia="Lato" w:hAnsi="Lato"/>
                <w:color w:val="222222"/>
                <w:sz w:val="19"/>
                <w:szCs w:val="19"/>
              </w:rPr>
              <w:t xml:space="preserve"/>
            </w:r>
          </w:p>
        </w:tc>
      </w:tr>
      <w:tr>
        <w:trPr>
          <w:cantSplit/>
          <w:trHeight w:val="620" w:hRule="atLeast"/>
        </w:trPr>
        <w:tc>
          <w:tcPr>
            <w:tcW w:type="dxa" w:w="3400"/>
            <w:tcMar>
              <w:top w:type="dxa" w:w="100"/>
              <w:left w:type="dxa" w:w="160"/>
              <w:bottom w:type="dxa" w:w="100"/>
              <w:right w:type="dxa" w:w="160"/>
            </w:tcMar>
            <w:vAlign w:val="center"/>
          </w:tcPr>
          <w:p>
            <w:r>
              <w:rPr>
                <w:rFonts w:ascii="Lato" w:cs="Lato" w:eastAsia="Lato" w:hAnsi="Lato"/>
                <w:b/>
                <w:bCs/>
                <w:color w:val="222222"/>
                <w:sz w:val="19"/>
                <w:szCs w:val="19"/>
              </w:rPr>
              <w:t xml:space="preserve">Sound mentoring judgement</w:t>
            </w:r>
          </w:p>
        </w:tc>
        <w:tc>
          <w:tcPr>
            <w:tcW w:type="dxa" w:w="1400"/>
            <w:tcMar>
              <w:top w:type="dxa" w:w="100"/>
              <w:left w:type="dxa" w:w="160"/>
              <w:bottom w:type="dxa" w:w="100"/>
              <w:right w:type="dxa" w:w="160"/>
            </w:tcMar>
            <w:vAlign w:val="center"/>
          </w:tcPr>
          <w:p>
            <w:r>
              <w:rPr>
                <w:rFonts w:ascii="Lato" w:cs="Lato" w:eastAsia="Lato" w:hAnsi="Lato"/>
                <w:color w:val="222222"/>
                <w:sz w:val="19"/>
                <w:szCs w:val="19"/>
              </w:rPr>
              <w:t xml:space="preserve">☐  Met</w:t>
            </w:r>
          </w:p>
        </w:tc>
        <w:tc>
          <w:tcPr>
            <w:tcW w:type="dxa" w:w="1600"/>
            <w:tcMar>
              <w:top w:type="dxa" w:w="100"/>
              <w:left w:type="dxa" w:w="160"/>
              <w:bottom w:type="dxa" w:w="100"/>
              <w:right w:type="dxa" w:w="160"/>
            </w:tcMar>
            <w:vAlign w:val="center"/>
          </w:tcPr>
          <w:p>
            <w:r>
              <w:rPr>
                <w:rFonts w:ascii="Lato" w:cs="Lato" w:eastAsia="Lato" w:hAnsi="Lato"/>
                <w:color w:val="222222"/>
                <w:sz w:val="19"/>
                <w:szCs w:val="19"/>
              </w:rPr>
              <w:t xml:space="preserve">☐  Not yet</w:t>
            </w:r>
          </w:p>
        </w:tc>
        <w:tc>
          <w:tcPr>
            <w:tcW w:type="dxa" w:w="3340"/>
            <w:tcMar>
              <w:top w:type="dxa" w:w="100"/>
              <w:left w:type="dxa" w:w="160"/>
              <w:bottom w:type="dxa" w:w="100"/>
              <w:right w:type="dxa" w:w="160"/>
            </w:tcMar>
          </w:tcPr>
          <w:p>
            <w:r>
              <w:rPr>
                <w:rFonts w:ascii="Lato" w:cs="Lato" w:eastAsia="Lato" w:hAnsi="Lato"/>
                <w:color w:val="222222"/>
                <w:sz w:val="19"/>
                <w:szCs w:val="19"/>
              </w:rPr>
              <w:t xml:space="preserve"/>
            </w:r>
          </w:p>
        </w:tc>
      </w:tr>
      <w:tr>
        <w:trPr>
          <w:cantSplit/>
          <w:trHeight w:val="620" w:hRule="atLeast"/>
        </w:trPr>
        <w:tc>
          <w:tcPr>
            <w:tcW w:type="dxa" w:w="3400"/>
            <w:tcMar>
              <w:top w:type="dxa" w:w="100"/>
              <w:left w:type="dxa" w:w="160"/>
              <w:bottom w:type="dxa" w:w="100"/>
              <w:right w:type="dxa" w:w="160"/>
            </w:tcMar>
            <w:vAlign w:val="center"/>
          </w:tcPr>
          <w:p>
            <w:r>
              <w:rPr>
                <w:rFonts w:ascii="Lato" w:cs="Lato" w:eastAsia="Lato" w:hAnsi="Lato"/>
                <w:b/>
                <w:bCs/>
                <w:color w:val="222222"/>
                <w:sz w:val="19"/>
                <w:szCs w:val="19"/>
              </w:rPr>
              <w:t xml:space="preserve">Sustained and structured</w:t>
            </w:r>
          </w:p>
        </w:tc>
        <w:tc>
          <w:tcPr>
            <w:tcW w:type="dxa" w:w="1400"/>
            <w:tcMar>
              <w:top w:type="dxa" w:w="100"/>
              <w:left w:type="dxa" w:w="160"/>
              <w:bottom w:type="dxa" w:w="100"/>
              <w:right w:type="dxa" w:w="160"/>
            </w:tcMar>
            <w:vAlign w:val="center"/>
          </w:tcPr>
          <w:p>
            <w:r>
              <w:rPr>
                <w:rFonts w:ascii="Lato" w:cs="Lato" w:eastAsia="Lato" w:hAnsi="Lato"/>
                <w:color w:val="222222"/>
                <w:sz w:val="19"/>
                <w:szCs w:val="19"/>
              </w:rPr>
              <w:t xml:space="preserve">☐  Met</w:t>
            </w:r>
          </w:p>
        </w:tc>
        <w:tc>
          <w:tcPr>
            <w:tcW w:type="dxa" w:w="1600"/>
            <w:tcMar>
              <w:top w:type="dxa" w:w="100"/>
              <w:left w:type="dxa" w:w="160"/>
              <w:bottom w:type="dxa" w:w="100"/>
              <w:right w:type="dxa" w:w="160"/>
            </w:tcMar>
            <w:vAlign w:val="center"/>
          </w:tcPr>
          <w:p>
            <w:r>
              <w:rPr>
                <w:rFonts w:ascii="Lato" w:cs="Lato" w:eastAsia="Lato" w:hAnsi="Lato"/>
                <w:color w:val="222222"/>
                <w:sz w:val="19"/>
                <w:szCs w:val="19"/>
              </w:rPr>
              <w:t xml:space="preserve">☐  Not yet</w:t>
            </w:r>
          </w:p>
        </w:tc>
        <w:tc>
          <w:tcPr>
            <w:tcW w:type="dxa" w:w="3340"/>
            <w:tcMar>
              <w:top w:type="dxa" w:w="100"/>
              <w:left w:type="dxa" w:w="160"/>
              <w:bottom w:type="dxa" w:w="100"/>
              <w:right w:type="dxa" w:w="160"/>
            </w:tcMar>
          </w:tcPr>
          <w:p>
            <w:r>
              <w:rPr>
                <w:rFonts w:ascii="Lato" w:cs="Lato" w:eastAsia="Lato" w:hAnsi="Lato"/>
                <w:color w:val="222222"/>
                <w:sz w:val="19"/>
                <w:szCs w:val="19"/>
              </w:rPr>
              <w:t xml:space="preserve"/>
            </w:r>
          </w:p>
        </w:tc>
      </w:tr>
    </w:tbl>
    <w:p>
      <w:pPr>
        <w:spacing w:after="120"/>
      </w:pPr>
      <w:r>
        <w:rPr>
          <w:rFonts w:ascii="Lato" w:cs="Lato" w:eastAsia="Lato" w:hAnsi="Lato"/>
          <w:color w:val="222222"/>
          <w:sz w:val="19"/>
          <w:szCs w:val="19"/>
        </w:rPr>
        <w:t xml:space="preserve"/>
      </w:r>
    </w:p>
    <w:tbl>
      <w:tblPr>
        <w:tblW w:type="dxa" w:w="974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6340"/>
      </w:tblGrid>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Outcome</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Pass          ☐  Resit required</w:t>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Date of decision</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Resit due (if applicable)</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w:r>
          </w:p>
        </w:tc>
      </w:tr>
      <w:tr>
        <w:trPr>
          <w:cantSplit/>
          <w:trHeight w:val="520" w:hRule="atLeast"/>
        </w:trPr>
        <w:tc>
          <w:tcPr>
            <w:tcW w:type="dxa" w:w="3400"/>
            <w:shd w:fill="ECECEC" w:color="auto" w:val="clear"/>
            <w:tcMar>
              <w:top w:type="dxa" w:w="100"/>
              <w:left w:type="dxa" w:w="160"/>
              <w:bottom w:type="dxa" w:w="100"/>
              <w:right w:type="dxa" w:w="160"/>
            </w:tcMar>
            <w:vAlign w:val="center"/>
          </w:tcPr>
          <w:p>
            <w:r>
              <w:rPr>
                <w:rFonts w:ascii="Lato" w:cs="Lato" w:eastAsia="Lato" w:hAnsi="Lato"/>
                <w:b/>
                <w:bCs/>
                <w:color w:val="222222"/>
                <w:sz w:val="19"/>
                <w:szCs w:val="19"/>
              </w:rPr>
              <w:t xml:space="preserve">Recorded in register</w:t>
            </w:r>
          </w:p>
        </w:tc>
        <w:tc>
          <w:tcPr>
            <w:tcW w:type="dxa" w:w="6340"/>
            <w:tcMar>
              <w:top w:type="dxa" w:w="100"/>
              <w:left w:type="dxa" w:w="160"/>
              <w:bottom w:type="dxa" w:w="100"/>
              <w:right w:type="dxa" w:w="160"/>
            </w:tcMar>
            <w:vAlign w:val="center"/>
          </w:tcPr>
          <w:p>
            <w:r>
              <w:rPr>
                <w:rFonts w:ascii="Lato" w:cs="Lato" w:eastAsia="Lato" w:hAnsi="Lato"/>
                <w:color w:val="222222"/>
                <w:sz w:val="19"/>
                <w:szCs w:val="19"/>
              </w:rPr>
              <w:t xml:space="preserve">☐  Educator now holds: Being a mentor</w:t>
            </w:r>
          </w:p>
        </w:tc>
      </w:tr>
    </w:tbl>
    <w:sectPr>
      <w:footerReference w:type="default" r:id="rId7"/>
      <w:pgSz w:w="11906" w:h="16838"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5"/>
        <w:szCs w:val="15"/>
      </w:rPr>
      <w:t xml:space="preserve">Amala Education for Change   ·   Being a mentor   ·   Module Sign-off Guide      </w:t>
    </w:r>
    <w:r>
      <w:rPr>
        <w:rFonts w:ascii="Lato" w:cs="Lato" w:eastAsia="Lato" w:hAnsi="Lato"/>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a mentor – Module Sign-off Guide</dc:title>
  <dc:creator>Amala Education for Change</dc:creator>
  <cp:lastModifiedBy>Un-named</cp:lastModifiedBy>
  <cp:revision>1</cp:revision>
  <dcterms:created xsi:type="dcterms:W3CDTF">2026-08-04T09:41:47.388Z</dcterms:created>
  <dcterms:modified xsi:type="dcterms:W3CDTF">2026-08-04T09:41:47.400Z</dcterms:modified>
</cp:coreProperties>
</file>

<file path=docProps/custom.xml><?xml version="1.0" encoding="utf-8"?>
<Properties xmlns="http://schemas.openxmlformats.org/officeDocument/2006/custom-properties" xmlns:vt="http://schemas.openxmlformats.org/officeDocument/2006/docPropsVTypes"/>
</file>