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0"/>
        <w:tblBorders>
          <w:top w:val="single" w:color="004976" w:sz="4"/>
          <w:left w:val="single" w:color="004976" w:sz="4"/>
          <w:bottom w:val="single" w:color="004976" w:sz="4"/>
          <w:right w:val="single" w:color="004976" w:sz="4"/>
          <w:insideH w:val="single" w:color="004976" w:sz="4"/>
          <w:insideV w:val="single" w:color="004976" w:sz="4"/>
        </w:tblBorders>
      </w:tblPr>
      <w:tblGrid>
        <w:gridCol w:w="4870"/>
        <w:gridCol w:w="4870"/>
      </w:tblGrid>
      <w:tr>
        <w:tc>
          <w:tcPr>
            <w:tcW w:type="dxa" w:w="4870"/>
            <w:shd w:fill="004976" w:color="auto" w:val="clear"/>
            <w:tcMar>
              <w:top w:type="dxa" w:w="70"/>
              <w:left w:type="dxa" w:w="180"/>
              <w:bottom w:type="dxa" w:w="70"/>
              <w:right w:type="dxa" w:w="150"/>
            </w:tcMar>
          </w:tcPr>
          <w:p>
            <w:r>
              <w:rPr>
                <w:rFonts w:ascii="Roboto" w:cs="Roboto" w:eastAsia="Roboto" w:hAnsi="Roboto"/>
                <w:b/>
                <w:bCs/>
                <w:color w:val="FFFFFF"/>
                <w:sz w:val="19"/>
                <w:szCs w:val="19"/>
              </w:rPr>
              <w:t xml:space="preserve">Being a mentor</w:t>
            </w:r>
          </w:p>
        </w:tc>
        <w:tc>
          <w:tcPr>
            <w:tcW w:type="dxa" w:w="4870"/>
            <w:shd w:fill="004976" w:color="auto" w:val="clear"/>
            <w:tcMar>
              <w:top w:type="dxa" w:w="70"/>
              <w:left w:type="dxa" w:w="150"/>
              <w:bottom w:type="dxa" w:w="70"/>
              <w:right w:type="dxa" w:w="180"/>
            </w:tcMar>
          </w:tcPr>
          <w:p>
            <w:pPr>
              <w:jc w:val="right"/>
            </w:pPr>
            <w:r>
              <w:rPr>
                <w:rFonts w:ascii="Roboto" w:cs="Roboto" w:eastAsia="Roboto" w:hAnsi="Roboto"/>
                <w:color w:val="FFFFFF"/>
                <w:sz w:val="18"/>
                <w:szCs w:val="18"/>
              </w:rPr>
              <w:t xml:space="preserve">Amala Education for Change</w:t>
            </w:r>
          </w:p>
        </w:tc>
      </w:tr>
    </w:tbl>
    <w:p>
      <w:pPr>
        <w:spacing w:after="0" w:before="200"/>
      </w:pPr>
      <w:r>
        <w:rPr>
          <w:rFonts w:ascii="Roboto" w:cs="Roboto" w:eastAsia="Roboto" w:hAnsi="Roboto"/>
          <w:b/>
          <w:bCs/>
          <w:color w:val="004976"/>
          <w:sz w:val="40"/>
          <w:szCs w:val="40"/>
        </w:rPr>
        <w:t xml:space="preserve">Being a mentor</w:t>
      </w:r>
    </w:p>
    <w:p>
      <w:pPr>
        <w:spacing w:after="160"/>
      </w:pPr>
      <w:r>
        <w:rPr>
          <w:rFonts w:ascii="Roboto" w:cs="Roboto" w:eastAsia="Roboto" w:hAnsi="Roboto"/>
          <w:color w:val="97999B"/>
          <w:sz w:val="20"/>
          <w:szCs w:val="20"/>
        </w:rPr>
        <w:t xml:space="preserve">Trainer Guide   ·   facilitating the module</w:t>
      </w:r>
    </w:p>
    <w:tbl>
      <w:tblPr>
        <w:tblW w:type="dxa" w:w="9740"/>
        <w:tblBorders>
          <w:top w:val="single" w:color="C7D3DB" w:sz="4"/>
          <w:left w:val="single" w:color="C7D3DB" w:sz="4"/>
          <w:bottom w:val="single" w:color="C7D3DB" w:sz="4"/>
          <w:right w:val="single" w:color="C7D3DB" w:sz="4"/>
          <w:insideH w:val="single" w:color="C7D3DB" w:sz="4"/>
          <w:insideV w:val="single" w:color="C7D3DB" w:sz="4"/>
        </w:tblBorders>
      </w:tblPr>
      <w:tblGrid>
        <w:gridCol w:w="2435"/>
        <w:gridCol w:w="2435"/>
        <w:gridCol w:w="2435"/>
        <w:gridCol w:w="2435"/>
      </w:tblGrid>
      <w:tr>
        <w:tc>
          <w:tcPr>
            <w:tcW w:type="dxa" w:w="2435"/>
            <w:shd w:fill="EAF1F5" w:color="auto" w:val="clear"/>
            <w:tcMar>
              <w:top w:type="dxa" w:w="110"/>
              <w:left w:type="dxa" w:w="130"/>
              <w:bottom w:type="dxa" w:w="110"/>
              <w:right w:type="dxa" w:w="130"/>
            </w:tcMar>
            <w:vAlign w:val="top"/>
          </w:tcPr>
          <w:p>
            <w:r>
              <w:rPr>
                <w:b/>
                <w:bCs/>
                <w:color w:val="004976"/>
                <w:sz w:val="17"/>
                <w:szCs w:val="17"/>
              </w:rPr>
              <w:t xml:space="preserve">Total time</w:t>
            </w:r>
          </w:p>
          <w:p>
            <w:pPr>
              <w:spacing w:before="30"/>
            </w:pPr>
            <w:r>
              <w:rPr>
                <w:color w:val="222222"/>
                <w:sz w:val="16"/>
                <w:szCs w:val="16"/>
              </w:rPr>
              <w:t xml:space="preserve">~8 hours</w:t>
            </w:r>
          </w:p>
        </w:tc>
        <w:tc>
          <w:tcPr>
            <w:tcW w:type="dxa" w:w="2435"/>
            <w:shd w:fill="EAF1F5" w:color="auto" w:val="clear"/>
            <w:tcMar>
              <w:top w:type="dxa" w:w="110"/>
              <w:left w:type="dxa" w:w="130"/>
              <w:bottom w:type="dxa" w:w="110"/>
              <w:right w:type="dxa" w:w="130"/>
            </w:tcMar>
            <w:vAlign w:val="top"/>
          </w:tcPr>
          <w:p>
            <w:r>
              <w:rPr>
                <w:b/>
                <w:bCs/>
                <w:color w:val="004976"/>
                <w:sz w:val="17"/>
                <w:szCs w:val="17"/>
              </w:rPr>
              <w:t xml:space="preserve">Synchronous</w:t>
            </w:r>
          </w:p>
          <w:p>
            <w:pPr>
              <w:spacing w:before="30"/>
            </w:pPr>
            <w:r>
              <w:rPr>
                <w:color w:val="222222"/>
                <w:sz w:val="16"/>
                <w:szCs w:val="16"/>
              </w:rPr>
              <w:t xml:space="preserve">~4 hours, 2 sessions of 2 hrs</w:t>
            </w:r>
          </w:p>
        </w:tc>
        <w:tc>
          <w:tcPr>
            <w:tcW w:type="dxa" w:w="2435"/>
            <w:shd w:fill="EAF1F5" w:color="auto" w:val="clear"/>
            <w:tcMar>
              <w:top w:type="dxa" w:w="110"/>
              <w:left w:type="dxa" w:w="130"/>
              <w:bottom w:type="dxa" w:w="110"/>
              <w:right w:type="dxa" w:w="130"/>
            </w:tcMar>
            <w:vAlign w:val="top"/>
          </w:tcPr>
          <w:p>
            <w:r>
              <w:rPr>
                <w:b/>
                <w:bCs/>
                <w:color w:val="004976"/>
                <w:sz w:val="17"/>
                <w:szCs w:val="17"/>
              </w:rPr>
              <w:t xml:space="preserve">Independent</w:t>
            </w:r>
          </w:p>
          <w:p>
            <w:pPr>
              <w:spacing w:before="30"/>
            </w:pPr>
            <w:r>
              <w:rPr>
                <w:color w:val="222222"/>
                <w:sz w:val="16"/>
                <w:szCs w:val="16"/>
              </w:rPr>
              <w:t xml:space="preserve">~4 hours, in three phases</w:t>
            </w:r>
          </w:p>
        </w:tc>
        <w:tc>
          <w:tcPr>
            <w:tcW w:type="dxa" w:w="2435"/>
            <w:shd w:fill="EAF1F5" w:color="auto" w:val="clear"/>
            <w:tcMar>
              <w:top w:type="dxa" w:w="110"/>
              <w:left w:type="dxa" w:w="130"/>
              <w:bottom w:type="dxa" w:w="110"/>
              <w:right w:type="dxa" w:w="130"/>
            </w:tcMar>
            <w:vAlign w:val="top"/>
          </w:tcPr>
          <w:p>
            <w:r>
              <w:rPr>
                <w:b/>
                <w:bCs/>
                <w:color w:val="004976"/>
                <w:sz w:val="17"/>
                <w:szCs w:val="17"/>
              </w:rPr>
              <w:t xml:space="preserve">Outcome</w:t>
            </w:r>
          </w:p>
          <w:p>
            <w:pPr>
              <w:spacing w:before="30"/>
            </w:pPr>
            <w:r>
              <w:rPr>
                <w:color w:val="222222"/>
                <w:sz w:val="16"/>
                <w:szCs w:val="16"/>
              </w:rPr>
              <w:t xml:space="preserve">A mentoring plan and scenario responses, assessed for sign-off</w:t>
            </w:r>
          </w:p>
        </w:tc>
      </w:tr>
    </w:tbl>
    <w:p>
      <w:pPr>
        <w:spacing w:after="160"/>
      </w:pPr>
      <w:r>
        <w:rPr>
          <w:color w:val="222222"/>
          <w:sz w:val="19"/>
          <w:szCs w:val="19"/>
        </w:rPr>
        <w:t xml:space="preserve"/>
      </w:r>
    </w:p>
    <w:tbl>
      <w:tblPr>
        <w:tblW w:type="dxa" w:w="9740"/>
        <w:tblBorders>
          <w:top w:val="single" w:color="C7D3DB" w:sz="4"/>
          <w:left w:val="single" w:color="004976" w:sz="18"/>
          <w:bottom w:val="single" w:color="C7D3DB" w:sz="4"/>
          <w:right w:val="single" w:color="C7D3DB" w:sz="4"/>
          <w:insideH w:val="single" w:color="C7D3DB" w:sz="4"/>
          <w:insideV w:val="single" w:color="C7D3DB" w:sz="4"/>
        </w:tblBorders>
      </w:tblPr>
      <w:tblGrid>
        <w:gridCol w:w="9740"/>
      </w:tblGrid>
      <w:tr>
        <w:tc>
          <w:tcPr>
            <w:tcW w:type="dxa" w:w="9740"/>
            <w:shd w:fill="EAF1F5" w:color="auto" w:val="clear"/>
            <w:tcMar>
              <w:top w:type="dxa" w:w="130"/>
              <w:left w:type="dxa" w:w="180"/>
              <w:bottom w:type="dxa" w:w="130"/>
              <w:right w:type="dxa" w:w="180"/>
            </w:tcMar>
          </w:tcPr>
          <w:p>
            <w:r>
              <w:rPr>
                <w:b/>
                <w:bCs/>
                <w:color w:val="004976"/>
                <w:sz w:val="19"/>
                <w:szCs w:val="19"/>
              </w:rPr>
              <w:t xml:space="preserve">How to use this guide  </w:t>
            </w:r>
            <w:r>
              <w:rPr>
                <w:color w:val="222222"/>
                <w:sz w:val="19"/>
                <w:szCs w:val="19"/>
              </w:rPr>
              <w:t xml:space="preserve">This guide walks you through facilitating both live sessions. For each session you will find the purpose and intended outcomes, a suggested agenda with timings, facilitation notes and prompts, and guidance on the peer feedback protocol. Read the full guide before Session 1, and read the Mentoring Scenarios facilitator set alongside it: that document holds the notes for every scenario, and you will lean on them in both sessions. Participants work in their own Mentoring Plan and Record and scenario response sheet; this is a companion guide for you. Adapt timings, activities, and prompts to suit your group. Training objective: by the end, every participant has a mentoring plan for a real learner and scenario responses that show sound judgement, ready for sign-off.</w:t>
            </w:r>
          </w:p>
        </w:tc>
      </w:tr>
    </w:tbl>
    <w:p>
      <w:pPr>
        <w:spacing w:after="80"/>
      </w:pPr>
      <w:r>
        <w:rPr>
          <w:color w:val="222222"/>
          <w:sz w:val="19"/>
          <w:szCs w:val="19"/>
        </w:rPr>
        <w:t xml:space="preserve"/>
      </w:r>
    </w:p>
    <w:tbl>
      <w:tblPr>
        <w:tblW w:type="dxa" w:w="9740"/>
        <w:tblBorders>
          <w:top w:val="single" w:color="C7D3DB" w:sz="4"/>
          <w:left w:val="single" w:color="8F993E" w:sz="18"/>
          <w:bottom w:val="single" w:color="C7D3DB" w:sz="4"/>
          <w:right w:val="single" w:color="C7D3DB" w:sz="4"/>
          <w:insideH w:val="single" w:color="C7D3DB" w:sz="4"/>
          <w:insideV w:val="single" w:color="C7D3DB" w:sz="4"/>
        </w:tblBorders>
      </w:tblPr>
      <w:tblGrid>
        <w:gridCol w:w="9740"/>
      </w:tblGrid>
      <w:tr>
        <w:tc>
          <w:tcPr>
            <w:tcW w:type="dxa" w:w="9740"/>
            <w:shd w:fill="F2F4E9" w:color="auto" w:val="clear"/>
            <w:tcMar>
              <w:top w:type="dxa" w:w="130"/>
              <w:left w:type="dxa" w:w="180"/>
              <w:bottom w:type="dxa" w:w="130"/>
              <w:right w:type="dxa" w:w="180"/>
            </w:tcMar>
          </w:tcPr>
          <w:p>
            <w:r>
              <w:rPr>
                <w:b/>
                <w:bCs/>
                <w:color w:val="004976"/>
                <w:sz w:val="19"/>
                <w:szCs w:val="19"/>
              </w:rPr>
              <w:t xml:space="preserve">Hours flexibility.  </w:t>
            </w:r>
            <w:r>
              <w:rPr>
                <w:color w:val="222222"/>
                <w:sz w:val="19"/>
                <w:szCs w:val="19"/>
              </w:rPr>
              <w:t xml:space="preserve">The 8-hour total (about 4 synchronous and 4 independent) is a recommended minimum. Timings within each session are suggestions; adjust for your group size and how familiar participants are with the mentor’s moves. Any change to the overall hours, or to the synchronous and independent balance, must be agreed in advance with Amala Education.</w:t>
            </w:r>
          </w:p>
        </w:tc>
      </w:tr>
    </w:tbl>
    <w:p>
      <w:pPr>
        <w:spacing w:after="120"/>
      </w:pPr>
      <w:r>
        <w:rPr>
          <w:color w:val="222222"/>
          <w:sz w:val="19"/>
          <w:szCs w:val="19"/>
        </w:rPr>
        <w:t xml:space="preserve"/>
      </w:r>
    </w:p>
    <w:p>
      <w:pPr>
        <w:spacing w:after="200"/>
      </w:pPr>
      <w:r>
        <w:rPr>
          <w:b/>
          <w:bCs/>
          <w:color w:val="222222"/>
          <w:sz w:val="19"/>
          <w:szCs w:val="19"/>
        </w:rPr>
        <w:t xml:space="preserve">Trainer name: </w:t>
      </w:r>
      <w:r>
        <w:rPr>
          <w:color w:val="222222"/>
          <w:sz w:val="19"/>
          <w:szCs w:val="19"/>
        </w:rPr>
        <w:t xml:space="preserve">____________________    </w:t>
      </w:r>
      <w:r>
        <w:rPr>
          <w:b/>
          <w:bCs/>
          <w:color w:val="222222"/>
          <w:sz w:val="19"/>
          <w:szCs w:val="19"/>
        </w:rPr>
        <w:t xml:space="preserve">Organisation: </w:t>
      </w:r>
      <w:r>
        <w:rPr>
          <w:color w:val="222222"/>
          <w:sz w:val="19"/>
          <w:szCs w:val="19"/>
        </w:rPr>
        <w:t xml:space="preserve">____________________    </w:t>
      </w:r>
      <w:r>
        <w:rPr>
          <w:b/>
          <w:bCs/>
          <w:color w:val="222222"/>
          <w:sz w:val="19"/>
          <w:szCs w:val="19"/>
        </w:rPr>
        <w:t xml:space="preserve">Cohort / date: </w:t>
      </w:r>
      <w:r>
        <w:rPr>
          <w:color w:val="222222"/>
          <w:sz w:val="19"/>
          <w:szCs w:val="19"/>
        </w:rPr>
        <w:t xml:space="preserve">____________</w:t>
      </w:r>
    </w:p>
    <w:p>
      <w:pPr>
        <w:spacing w:after="90" w:before="180"/>
      </w:pPr>
      <w:r>
        <w:rPr>
          <w:rFonts w:ascii="Roboto" w:cs="Roboto" w:eastAsia="Roboto" w:hAnsi="Roboto"/>
          <w:b/>
          <w:bCs/>
          <w:color w:val="004976"/>
          <w:sz w:val="24"/>
          <w:szCs w:val="24"/>
        </w:rPr>
        <w:t xml:space="preserve">Training overview</w:t>
      </w:r>
    </w:p>
    <w:tbl>
      <w:tblPr>
        <w:tblW w:type="dxa" w:w="9740"/>
        <w:tblBorders>
          <w:top w:val="single" w:color="C7D3DB" w:sz="4"/>
          <w:left w:val="single" w:color="C7D3DB" w:sz="4"/>
          <w:bottom w:val="single" w:color="C7D3DB" w:sz="4"/>
          <w:right w:val="single" w:color="C7D3DB" w:sz="4"/>
          <w:insideH w:val="single" w:color="C7D3DB" w:sz="4"/>
          <w:insideV w:val="single" w:color="C7D3DB" w:sz="4"/>
        </w:tblBorders>
      </w:tblPr>
      <w:tblGrid>
        <w:gridCol w:w="2050"/>
        <w:gridCol w:w="1600"/>
        <w:gridCol w:w="1200"/>
        <w:gridCol w:w="4890"/>
      </w:tblGrid>
      <w:tr>
        <w:trPr>
          <w:tblHeader/>
        </w:trPr>
        <w:tc>
          <w:tcPr>
            <w:tcW w:type="dxa" w:w="2050"/>
            <w:shd w:fill="004976" w:color="auto" w:val="clear"/>
            <w:tcMar>
              <w:top w:type="dxa" w:w="90"/>
              <w:left w:type="dxa" w:w="150"/>
              <w:bottom w:type="dxa" w:w="90"/>
              <w:right w:type="dxa" w:w="150"/>
            </w:tcMar>
            <w:vAlign w:val="center"/>
          </w:tcPr>
          <w:p>
            <w:r>
              <w:rPr>
                <w:b/>
                <w:bCs/>
                <w:color w:val="FFFFFF"/>
                <w:sz w:val="17"/>
                <w:szCs w:val="17"/>
              </w:rPr>
              <w:t xml:space="preserve">Phase</w:t>
            </w:r>
          </w:p>
        </w:tc>
        <w:tc>
          <w:tcPr>
            <w:tcW w:type="dxa" w:w="1600"/>
            <w:shd w:fill="004976" w:color="auto" w:val="clear"/>
            <w:tcMar>
              <w:top w:type="dxa" w:w="90"/>
              <w:left w:type="dxa" w:w="150"/>
              <w:bottom w:type="dxa" w:w="90"/>
              <w:right w:type="dxa" w:w="150"/>
            </w:tcMar>
            <w:vAlign w:val="center"/>
          </w:tcPr>
          <w:p>
            <w:r>
              <w:rPr>
                <w:b/>
                <w:bCs/>
                <w:color w:val="FFFFFF"/>
                <w:sz w:val="17"/>
                <w:szCs w:val="17"/>
              </w:rPr>
              <w:t xml:space="preserve">Mode</w:t>
            </w:r>
          </w:p>
        </w:tc>
        <w:tc>
          <w:tcPr>
            <w:tcW w:type="dxa" w:w="1200"/>
            <w:shd w:fill="004976" w:color="auto" w:val="clear"/>
            <w:tcMar>
              <w:top w:type="dxa" w:w="90"/>
              <w:left w:type="dxa" w:w="150"/>
              <w:bottom w:type="dxa" w:w="90"/>
              <w:right w:type="dxa" w:w="150"/>
            </w:tcMar>
            <w:vAlign w:val="center"/>
          </w:tcPr>
          <w:p>
            <w:r>
              <w:rPr>
                <w:b/>
                <w:bCs/>
                <w:color w:val="FFFFFF"/>
                <w:sz w:val="17"/>
                <w:szCs w:val="17"/>
              </w:rPr>
              <w:t xml:space="preserve">Time</w:t>
            </w:r>
          </w:p>
        </w:tc>
        <w:tc>
          <w:tcPr>
            <w:tcW w:type="dxa" w:w="4890"/>
            <w:shd w:fill="004976" w:color="auto" w:val="clear"/>
            <w:tcMar>
              <w:top w:type="dxa" w:w="90"/>
              <w:left w:type="dxa" w:w="150"/>
              <w:bottom w:type="dxa" w:w="90"/>
              <w:right w:type="dxa" w:w="150"/>
            </w:tcMar>
            <w:vAlign w:val="center"/>
          </w:tcPr>
          <w:p>
            <w:r>
              <w:rPr>
                <w:b/>
                <w:bCs/>
                <w:color w:val="FFFFFF"/>
                <w:sz w:val="17"/>
                <w:szCs w:val="17"/>
              </w:rPr>
              <w:t xml:space="preserve">What happens</w:t>
            </w:r>
          </w:p>
        </w:tc>
      </w:tr>
      <w:tr>
        <w:trPr>
          <w:cantSplit/>
        </w:trPr>
        <w:tc>
          <w:tcPr>
            <w:tcW w:type="dxa" w:w="2050"/>
            <w:shd w:fill="EAF1F5" w:color="auto" w:val="clear"/>
            <w:tcMar>
              <w:top w:type="dxa" w:w="90"/>
              <w:left w:type="dxa" w:w="150"/>
              <w:bottom w:type="dxa" w:w="90"/>
              <w:right w:type="dxa" w:w="150"/>
            </w:tcMar>
          </w:tcPr>
          <w:p>
            <w:r>
              <w:rPr>
                <w:b/>
                <w:bCs/>
                <w:color w:val="004976"/>
                <w:sz w:val="18"/>
                <w:szCs w:val="18"/>
              </w:rPr>
              <w:t xml:space="preserve">Pre-work</w:t>
            </w:r>
          </w:p>
        </w:tc>
        <w:tc>
          <w:tcPr>
            <w:tcW w:type="dxa" w:w="1600"/>
            <w:tcMar>
              <w:top w:type="dxa" w:w="90"/>
              <w:left w:type="dxa" w:w="150"/>
              <w:bottom w:type="dxa" w:w="90"/>
              <w:right w:type="dxa" w:w="150"/>
            </w:tcMar>
            <w:vAlign w:val="center"/>
          </w:tcPr>
          <w:p>
            <w:r>
              <w:rPr>
                <w:color w:val="222222"/>
                <w:sz w:val="18"/>
                <w:szCs w:val="18"/>
              </w:rPr>
              <w:t xml:space="preserve">Independent</w:t>
            </w:r>
          </w:p>
        </w:tc>
        <w:tc>
          <w:tcPr>
            <w:tcW w:type="dxa" w:w="1200"/>
            <w:tcMar>
              <w:top w:type="dxa" w:w="90"/>
              <w:left w:type="dxa" w:w="150"/>
              <w:bottom w:type="dxa" w:w="90"/>
              <w:right w:type="dxa" w:w="150"/>
            </w:tcMar>
            <w:vAlign w:val="center"/>
          </w:tcPr>
          <w:p>
            <w:r>
              <w:rPr>
                <w:color w:val="222222"/>
                <w:sz w:val="18"/>
                <w:szCs w:val="18"/>
              </w:rPr>
              <w:t xml:space="preserve">~1 hr</w:t>
            </w:r>
          </w:p>
        </w:tc>
        <w:tc>
          <w:tcPr>
            <w:tcW w:type="dxa" w:w="4890"/>
            <w:tcMar>
              <w:top w:type="dxa" w:w="90"/>
              <w:left w:type="dxa" w:w="150"/>
              <w:bottom w:type="dxa" w:w="90"/>
              <w:right w:type="dxa" w:w="150"/>
            </w:tcMar>
          </w:tcPr>
          <w:p>
            <w:r>
              <w:rPr>
                <w:color w:val="222222"/>
                <w:sz w:val="19"/>
                <w:szCs w:val="19"/>
              </w:rPr>
              <w:t xml:space="preserve">Participants reflect on being well supported, read the mentor’s moves, complete their safeguarding groundwork (Section 2), and begin Section 1 for a chosen learner.</w:t>
            </w:r>
          </w:p>
        </w:tc>
      </w:tr>
      <w:tr>
        <w:trPr>
          <w:cantSplit/>
        </w:trPr>
        <w:tc>
          <w:tcPr>
            <w:tcW w:type="dxa" w:w="2050"/>
            <w:shd w:fill="EAF1F5" w:color="auto" w:val="clear"/>
            <w:tcMar>
              <w:top w:type="dxa" w:w="90"/>
              <w:left w:type="dxa" w:w="150"/>
              <w:bottom w:type="dxa" w:w="90"/>
              <w:right w:type="dxa" w:w="150"/>
            </w:tcMar>
          </w:tcPr>
          <w:p>
            <w:r>
              <w:rPr>
                <w:b/>
                <w:bCs/>
                <w:color w:val="004976"/>
                <w:sz w:val="18"/>
                <w:szCs w:val="18"/>
              </w:rPr>
              <w:t xml:space="preserve">Session 1</w:t>
            </w:r>
          </w:p>
        </w:tc>
        <w:tc>
          <w:tcPr>
            <w:tcW w:type="dxa" w:w="1600"/>
            <w:tcMar>
              <w:top w:type="dxa" w:w="90"/>
              <w:left w:type="dxa" w:w="150"/>
              <w:bottom w:type="dxa" w:w="90"/>
              <w:right w:type="dxa" w:w="150"/>
            </w:tcMar>
            <w:vAlign w:val="center"/>
          </w:tcPr>
          <w:p>
            <w:r>
              <w:rPr>
                <w:color w:val="222222"/>
                <w:sz w:val="18"/>
                <w:szCs w:val="18"/>
              </w:rPr>
              <w:t xml:space="preserve">Synchronous</w:t>
            </w:r>
          </w:p>
        </w:tc>
        <w:tc>
          <w:tcPr>
            <w:tcW w:type="dxa" w:w="1200"/>
            <w:tcMar>
              <w:top w:type="dxa" w:w="90"/>
              <w:left w:type="dxa" w:w="150"/>
              <w:bottom w:type="dxa" w:w="90"/>
              <w:right w:type="dxa" w:w="150"/>
            </w:tcMar>
            <w:vAlign w:val="center"/>
          </w:tcPr>
          <w:p>
            <w:r>
              <w:rPr>
                <w:color w:val="222222"/>
                <w:sz w:val="18"/>
                <w:szCs w:val="18"/>
              </w:rPr>
              <w:t xml:space="preserve">2 hrs</w:t>
            </w:r>
          </w:p>
        </w:tc>
        <w:tc>
          <w:tcPr>
            <w:tcW w:type="dxa" w:w="4890"/>
            <w:tcMar>
              <w:top w:type="dxa" w:w="90"/>
              <w:left w:type="dxa" w:w="150"/>
              <w:bottom w:type="dxa" w:w="90"/>
              <w:right w:type="dxa" w:w="150"/>
            </w:tcMar>
          </w:tcPr>
          <w:p>
            <w:r>
              <w:rPr>
                <w:color w:val="222222"/>
                <w:sz w:val="19"/>
                <w:szCs w:val="19"/>
              </w:rPr>
              <w:t xml:space="preserve">The five parts of the mentor role and the coach-or-refer decision under them. Work the demonstration scenario together. Participants share their learner with peers.</w:t>
            </w:r>
          </w:p>
        </w:tc>
      </w:tr>
      <w:tr>
        <w:trPr>
          <w:cantSplit/>
        </w:trPr>
        <w:tc>
          <w:tcPr>
            <w:tcW w:type="dxa" w:w="2050"/>
            <w:shd w:fill="EAF1F5" w:color="auto" w:val="clear"/>
            <w:tcMar>
              <w:top w:type="dxa" w:w="90"/>
              <w:left w:type="dxa" w:w="150"/>
              <w:bottom w:type="dxa" w:w="90"/>
              <w:right w:type="dxa" w:w="150"/>
            </w:tcMar>
          </w:tcPr>
          <w:p>
            <w:r>
              <w:rPr>
                <w:b/>
                <w:bCs/>
                <w:color w:val="004976"/>
                <w:sz w:val="18"/>
                <w:szCs w:val="18"/>
              </w:rPr>
              <w:t xml:space="preserve">Independent Work 1</w:t>
            </w:r>
          </w:p>
        </w:tc>
        <w:tc>
          <w:tcPr>
            <w:tcW w:type="dxa" w:w="1600"/>
            <w:tcMar>
              <w:top w:type="dxa" w:w="90"/>
              <w:left w:type="dxa" w:w="150"/>
              <w:bottom w:type="dxa" w:w="90"/>
              <w:right w:type="dxa" w:w="150"/>
            </w:tcMar>
            <w:vAlign w:val="center"/>
          </w:tcPr>
          <w:p>
            <w:r>
              <w:rPr>
                <w:color w:val="222222"/>
                <w:sz w:val="18"/>
                <w:szCs w:val="18"/>
              </w:rPr>
              <w:t xml:space="preserve">Independent</w:t>
            </w:r>
          </w:p>
        </w:tc>
        <w:tc>
          <w:tcPr>
            <w:tcW w:type="dxa" w:w="1200"/>
            <w:tcMar>
              <w:top w:type="dxa" w:w="90"/>
              <w:left w:type="dxa" w:w="150"/>
              <w:bottom w:type="dxa" w:w="90"/>
              <w:right w:type="dxa" w:w="150"/>
            </w:tcMar>
            <w:vAlign w:val="center"/>
          </w:tcPr>
          <w:p>
            <w:r>
              <w:rPr>
                <w:color w:val="222222"/>
                <w:sz w:val="18"/>
                <w:szCs w:val="18"/>
              </w:rPr>
              <w:t xml:space="preserve">~2 hrs</w:t>
            </w:r>
          </w:p>
        </w:tc>
        <w:tc>
          <w:tcPr>
            <w:tcW w:type="dxa" w:w="4890"/>
            <w:tcMar>
              <w:top w:type="dxa" w:w="90"/>
              <w:left w:type="dxa" w:w="150"/>
              <w:bottom w:type="dxa" w:w="90"/>
              <w:right w:type="dxa" w:w="150"/>
            </w:tcMar>
          </w:tcPr>
          <w:p>
            <w:r>
              <w:rPr>
                <w:color w:val="222222"/>
                <w:sz w:val="19"/>
                <w:szCs w:val="19"/>
              </w:rPr>
              <w:t xml:space="preserve">Participants complete Section 1, build their plan (Section 3), and write their responses to the assessment scenarios.</w:t>
            </w:r>
          </w:p>
        </w:tc>
      </w:tr>
      <w:tr>
        <w:trPr>
          <w:cantSplit/>
        </w:trPr>
        <w:tc>
          <w:tcPr>
            <w:tcW w:type="dxa" w:w="2050"/>
            <w:shd w:fill="EAF1F5" w:color="auto" w:val="clear"/>
            <w:tcMar>
              <w:top w:type="dxa" w:w="90"/>
              <w:left w:type="dxa" w:w="150"/>
              <w:bottom w:type="dxa" w:w="90"/>
              <w:right w:type="dxa" w:w="150"/>
            </w:tcMar>
          </w:tcPr>
          <w:p>
            <w:r>
              <w:rPr>
                <w:b/>
                <w:bCs/>
                <w:color w:val="004976"/>
                <w:sz w:val="18"/>
                <w:szCs w:val="18"/>
              </w:rPr>
              <w:t xml:space="preserve">Session 2</w:t>
            </w:r>
          </w:p>
        </w:tc>
        <w:tc>
          <w:tcPr>
            <w:tcW w:type="dxa" w:w="1600"/>
            <w:tcMar>
              <w:top w:type="dxa" w:w="90"/>
              <w:left w:type="dxa" w:w="150"/>
              <w:bottom w:type="dxa" w:w="90"/>
              <w:right w:type="dxa" w:w="150"/>
            </w:tcMar>
            <w:vAlign w:val="center"/>
          </w:tcPr>
          <w:p>
            <w:r>
              <w:rPr>
                <w:color w:val="222222"/>
                <w:sz w:val="18"/>
                <w:szCs w:val="18"/>
              </w:rPr>
              <w:t xml:space="preserve">Synchronous</w:t>
            </w:r>
          </w:p>
        </w:tc>
        <w:tc>
          <w:tcPr>
            <w:tcW w:type="dxa" w:w="1200"/>
            <w:tcMar>
              <w:top w:type="dxa" w:w="90"/>
              <w:left w:type="dxa" w:w="150"/>
              <w:bottom w:type="dxa" w:w="90"/>
              <w:right w:type="dxa" w:w="150"/>
            </w:tcMar>
            <w:vAlign w:val="center"/>
          </w:tcPr>
          <w:p>
            <w:r>
              <w:rPr>
                <w:color w:val="222222"/>
                <w:sz w:val="18"/>
                <w:szCs w:val="18"/>
              </w:rPr>
              <w:t xml:space="preserve">2 hrs</w:t>
            </w:r>
          </w:p>
        </w:tc>
        <w:tc>
          <w:tcPr>
            <w:tcW w:type="dxa" w:w="4890"/>
            <w:tcMar>
              <w:top w:type="dxa" w:w="90"/>
              <w:left w:type="dxa" w:w="150"/>
              <w:bottom w:type="dxa" w:w="90"/>
              <w:right w:type="dxa" w:w="150"/>
            </w:tcMar>
          </w:tcPr>
          <w:p>
            <w:r>
              <w:rPr>
                <w:color w:val="222222"/>
                <w:sz w:val="19"/>
                <w:szCs w:val="19"/>
              </w:rPr>
              <w:t xml:space="preserve">Peer feedback on responses and plans. Group calibration on the safeguarding scenario. Submission checklist issued; Section 4 introduced.</w:t>
            </w:r>
          </w:p>
        </w:tc>
      </w:tr>
      <w:tr>
        <w:trPr>
          <w:cantSplit/>
        </w:trPr>
        <w:tc>
          <w:tcPr>
            <w:tcW w:type="dxa" w:w="2050"/>
            <w:shd w:fill="EAF1F5" w:color="auto" w:val="clear"/>
            <w:tcMar>
              <w:top w:type="dxa" w:w="90"/>
              <w:left w:type="dxa" w:w="150"/>
              <w:bottom w:type="dxa" w:w="90"/>
              <w:right w:type="dxa" w:w="150"/>
            </w:tcMar>
          </w:tcPr>
          <w:p>
            <w:r>
              <w:rPr>
                <w:b/>
                <w:bCs/>
                <w:color w:val="004976"/>
                <w:sz w:val="18"/>
                <w:szCs w:val="18"/>
              </w:rPr>
              <w:t xml:space="preserve">Independent Work 2</w:t>
            </w:r>
          </w:p>
        </w:tc>
        <w:tc>
          <w:tcPr>
            <w:tcW w:type="dxa" w:w="1600"/>
            <w:tcMar>
              <w:top w:type="dxa" w:w="90"/>
              <w:left w:type="dxa" w:w="150"/>
              <w:bottom w:type="dxa" w:w="90"/>
              <w:right w:type="dxa" w:w="150"/>
            </w:tcMar>
            <w:vAlign w:val="center"/>
          </w:tcPr>
          <w:p>
            <w:r>
              <w:rPr>
                <w:color w:val="222222"/>
                <w:sz w:val="18"/>
                <w:szCs w:val="18"/>
              </w:rPr>
              <w:t xml:space="preserve">Independent</w:t>
            </w:r>
          </w:p>
        </w:tc>
        <w:tc>
          <w:tcPr>
            <w:tcW w:type="dxa" w:w="1200"/>
            <w:tcMar>
              <w:top w:type="dxa" w:w="90"/>
              <w:left w:type="dxa" w:w="150"/>
              <w:bottom w:type="dxa" w:w="90"/>
              <w:right w:type="dxa" w:w="150"/>
            </w:tcMar>
            <w:vAlign w:val="center"/>
          </w:tcPr>
          <w:p>
            <w:r>
              <w:rPr>
                <w:color w:val="222222"/>
                <w:sz w:val="18"/>
                <w:szCs w:val="18"/>
              </w:rPr>
              <w:t xml:space="preserve">~1 hr</w:t>
            </w:r>
          </w:p>
        </w:tc>
        <w:tc>
          <w:tcPr>
            <w:tcW w:type="dxa" w:w="4890"/>
            <w:tcMar>
              <w:top w:type="dxa" w:w="90"/>
              <w:left w:type="dxa" w:w="150"/>
              <w:bottom w:type="dxa" w:w="90"/>
              <w:right w:type="dxa" w:w="150"/>
            </w:tcMar>
          </w:tcPr>
          <w:p>
            <w:r>
              <w:rPr>
                <w:color w:val="222222"/>
                <w:sz w:val="19"/>
                <w:szCs w:val="19"/>
              </w:rPr>
              <w:t xml:space="preserve">Participants finalise and submit their plan and scenario responses.</w:t>
            </w:r>
          </w:p>
        </w:tc>
      </w:tr>
      <w:tr>
        <w:trPr>
          <w:cantSplit/>
        </w:trPr>
        <w:tc>
          <w:tcPr>
            <w:tcW w:type="dxa" w:w="2050"/>
            <w:shd w:fill="EAF1F5" w:color="auto" w:val="clear"/>
            <w:tcMar>
              <w:top w:type="dxa" w:w="90"/>
              <w:left w:type="dxa" w:w="150"/>
              <w:bottom w:type="dxa" w:w="90"/>
              <w:right w:type="dxa" w:w="150"/>
            </w:tcMar>
          </w:tcPr>
          <w:p>
            <w:r>
              <w:rPr>
                <w:b/>
                <w:bCs/>
                <w:color w:val="004976"/>
                <w:sz w:val="18"/>
                <w:szCs w:val="18"/>
              </w:rPr>
              <w:t xml:space="preserve">Sign-off</w:t>
            </w:r>
          </w:p>
        </w:tc>
        <w:tc>
          <w:tcPr>
            <w:tcW w:type="dxa" w:w="1600"/>
            <w:tcMar>
              <w:top w:type="dxa" w:w="90"/>
              <w:left w:type="dxa" w:w="150"/>
              <w:bottom w:type="dxa" w:w="90"/>
              <w:right w:type="dxa" w:w="150"/>
            </w:tcMar>
            <w:vAlign w:val="center"/>
          </w:tcPr>
          <w:p>
            <w:r>
              <w:rPr>
                <w:color w:val="222222"/>
                <w:sz w:val="18"/>
                <w:szCs w:val="18"/>
              </w:rPr>
              <w:t xml:space="preserve">–</w:t>
            </w:r>
          </w:p>
        </w:tc>
        <w:tc>
          <w:tcPr>
            <w:tcW w:type="dxa" w:w="1200"/>
            <w:tcMar>
              <w:top w:type="dxa" w:w="90"/>
              <w:left w:type="dxa" w:w="150"/>
              <w:bottom w:type="dxa" w:w="90"/>
              <w:right w:type="dxa" w:w="150"/>
            </w:tcMar>
            <w:vAlign w:val="center"/>
          </w:tcPr>
          <w:p>
            <w:r>
              <w:rPr>
                <w:color w:val="222222"/>
                <w:sz w:val="18"/>
                <w:szCs w:val="18"/>
              </w:rPr>
              <w:t xml:space="preserve">–</w:t>
            </w:r>
          </w:p>
        </w:tc>
        <w:tc>
          <w:tcPr>
            <w:tcW w:type="dxa" w:w="4890"/>
            <w:tcMar>
              <w:top w:type="dxa" w:w="90"/>
              <w:left w:type="dxa" w:w="150"/>
              <w:bottom w:type="dxa" w:w="90"/>
              <w:right w:type="dxa" w:w="150"/>
            </w:tcMar>
          </w:tcPr>
          <w:p>
            <w:r>
              <w:rPr>
                <w:color w:val="222222"/>
                <w:sz w:val="19"/>
                <w:szCs w:val="19"/>
              </w:rPr>
              <w:t xml:space="preserve">You assess the plan and scenario responses against the three criteria. Pass, or one resit.</w:t>
            </w:r>
          </w:p>
        </w:tc>
      </w:tr>
    </w:tbl>
    <w:p>
      <w:pPr>
        <w:spacing w:after="120"/>
      </w:pPr>
      <w:r>
        <w:rPr>
          <w:color w:val="222222"/>
          <w:sz w:val="19"/>
          <w:szCs w:val="19"/>
        </w:rPr>
        <w:t xml:space="preserve"/>
      </w:r>
    </w:p>
    <w:tbl>
      <w:tblPr>
        <w:tblW w:type="dxa" w:w="9740"/>
        <w:tblBorders>
          <w:top w:val="single" w:color="C7D3DB" w:sz="4"/>
          <w:left w:val="single" w:color="8F993E" w:sz="18"/>
          <w:bottom w:val="single" w:color="C7D3DB" w:sz="4"/>
          <w:right w:val="single" w:color="C7D3DB" w:sz="4"/>
          <w:insideH w:val="single" w:color="C7D3DB" w:sz="4"/>
          <w:insideV w:val="single" w:color="C7D3DB" w:sz="4"/>
        </w:tblBorders>
      </w:tblPr>
      <w:tblGrid>
        <w:gridCol w:w="9740"/>
      </w:tblGrid>
      <w:tr>
        <w:tc>
          <w:tcPr>
            <w:tcW w:type="dxa" w:w="9740"/>
            <w:shd w:fill="F2F4E9" w:color="auto" w:val="clear"/>
            <w:tcMar>
              <w:top w:type="dxa" w:w="130"/>
              <w:left w:type="dxa" w:w="180"/>
              <w:bottom w:type="dxa" w:w="130"/>
              <w:right w:type="dxa" w:w="180"/>
            </w:tcMar>
          </w:tcPr>
          <w:p>
            <w:r>
              <w:rPr>
                <w:b/>
                <w:bCs/>
                <w:color w:val="004976"/>
                <w:sz w:val="19"/>
                <w:szCs w:val="19"/>
              </w:rPr>
              <w:t xml:space="preserve">The one thing to hold, in both sessions.  </w:t>
            </w:r>
            <w:r>
              <w:rPr>
                <w:color w:val="222222"/>
                <w:sz w:val="19"/>
                <w:szCs w:val="19"/>
              </w:rPr>
              <w:t xml:space="preserve">The whole module turns on a single decision: keep the mentee the author of their own way forward (coach, do not rescue), or recognise that something needs more than mentoring and act (signpost, refer, escalate). Your job across both sessions is to keep surfacing that decision, and to hold the line that on any safeguarding matter, participants act within their own setting’s policy and reach their own designated lead. There is no universal procedure to teach.</w:t>
            </w:r>
          </w:p>
        </w:tc>
      </w:tr>
    </w:tbl>
    <w:p>
      <w:pPr>
        <w:spacing w:after="200"/>
      </w:pPr>
      <w:r>
        <w:rPr>
          <w:color w:val="222222"/>
          <w:sz w:val="19"/>
          <w:szCs w:val="19"/>
        </w:rPr>
        <w:t xml:space="preserve"/>
      </w:r>
    </w:p>
    <w:tbl>
      <w:tblPr>
        <w:tblW w:type="dxa" w:w="9740"/>
        <w:tblBorders>
          <w:top w:val="single" w:color="004976" w:sz="4"/>
          <w:left w:val="single" w:color="004976" w:sz="4"/>
          <w:bottom w:val="single" w:color="004976" w:sz="4"/>
          <w:right w:val="single" w:color="004976" w:sz="4"/>
          <w:insideH w:val="single" w:color="004976" w:sz="4"/>
          <w:insideV w:val="single" w:color="004976" w:sz="4"/>
        </w:tblBorders>
      </w:tblPr>
      <w:tblGrid>
        <w:gridCol w:w="9740"/>
      </w:tblGrid>
      <w:tr>
        <w:tc>
          <w:tcPr>
            <w:tcW w:type="dxa" w:w="9740"/>
            <w:shd w:fill="004976" w:color="auto" w:val="clear"/>
            <w:tcMar>
              <w:top w:type="dxa" w:w="110"/>
              <w:left w:type="dxa" w:w="190"/>
              <w:bottom w:type="dxa" w:w="110"/>
              <w:right w:type="dxa" w:w="180"/>
            </w:tcMar>
          </w:tcPr>
          <w:p>
            <w:r>
              <w:rPr>
                <w:rFonts w:ascii="Roboto" w:cs="Roboto" w:eastAsia="Roboto" w:hAnsi="Roboto"/>
                <w:b/>
                <w:bCs/>
                <w:color w:val="FFFFFF"/>
                <w:sz w:val="24"/>
                <w:szCs w:val="24"/>
              </w:rPr>
              <w:t xml:space="preserve">Session 1</w:t>
            </w:r>
          </w:p>
          <w:p>
            <w:r>
              <w:rPr>
                <w:rFonts w:ascii="Roboto" w:cs="Roboto" w:eastAsia="Roboto" w:hAnsi="Roboto"/>
                <w:color w:val="FFFFFF"/>
                <w:sz w:val="17"/>
                <w:szCs w:val="17"/>
              </w:rPr>
              <w:t xml:space="preserve">The role, and the decision under it</w:t>
            </w:r>
          </w:p>
        </w:tc>
      </w:tr>
    </w:tbl>
    <w:p>
      <w:pPr>
        <w:spacing w:after="100"/>
      </w:pPr>
      <w:r>
        <w:rPr>
          <w:color w:val="222222"/>
          <w:sz w:val="19"/>
          <w:szCs w:val="19"/>
        </w:rPr>
        <w:t xml:space="preserve"/>
      </w:r>
    </w:p>
    <w:tbl>
      <w:tblPr>
        <w:tblW w:type="dxa" w:w="9740"/>
        <w:tblBorders>
          <w:top w:val="single" w:color="C7D3DB" w:sz="4"/>
          <w:left w:val="single" w:color="004976" w:sz="18"/>
          <w:bottom w:val="single" w:color="C7D3DB" w:sz="4"/>
          <w:right w:val="single" w:color="C7D3DB" w:sz="4"/>
          <w:insideH w:val="single" w:color="C7D3DB" w:sz="4"/>
          <w:insideV w:val="single" w:color="C7D3DB" w:sz="4"/>
        </w:tblBorders>
      </w:tblPr>
      <w:tblGrid>
        <w:gridCol w:w="9740"/>
      </w:tblGrid>
      <w:tr>
        <w:tc>
          <w:tcPr>
            <w:tcW w:type="dxa" w:w="9740"/>
            <w:shd w:fill="EAF1F5" w:color="auto" w:val="clear"/>
            <w:tcMar>
              <w:top w:type="dxa" w:w="130"/>
              <w:left w:type="dxa" w:w="180"/>
              <w:bottom w:type="dxa" w:w="130"/>
              <w:right w:type="dxa" w:w="180"/>
            </w:tcMar>
          </w:tcPr>
          <w:p>
            <w:r>
              <w:rPr>
                <w:b/>
                <w:bCs/>
                <w:color w:val="004976"/>
                <w:sz w:val="19"/>
                <w:szCs w:val="19"/>
              </w:rPr>
              <w:t xml:space="preserve">Purpose and outcomes.  </w:t>
            </w:r>
            <w:r>
              <w:rPr>
                <w:color w:val="222222"/>
                <w:sz w:val="19"/>
                <w:szCs w:val="19"/>
              </w:rPr>
              <w:t xml:space="preserve">By the end of Session 1, participants understand the five parts of the mentor role and the coach-or-refer decision that runs under them, have seen the coaching stance modelled through the demonstration scenario, have sharpened their Section 1 by talking it through with peers, and have a clear brief for their independent work.</w:t>
            </w:r>
          </w:p>
        </w:tc>
      </w:tr>
    </w:tbl>
    <w:p>
      <w:pPr>
        <w:spacing w:after="120"/>
      </w:pPr>
      <w:r>
        <w:rPr>
          <w:color w:val="222222"/>
          <w:sz w:val="19"/>
          <w:szCs w:val="19"/>
        </w:rPr>
        <w:t xml:space="preserve"/>
      </w:r>
    </w:p>
    <w:p>
      <w:pPr>
        <w:spacing w:after="90" w:before="180"/>
      </w:pPr>
      <w:r>
        <w:rPr>
          <w:rFonts w:ascii="Roboto" w:cs="Roboto" w:eastAsia="Roboto" w:hAnsi="Roboto"/>
          <w:b/>
          <w:bCs/>
          <w:color w:val="004976"/>
          <w:sz w:val="24"/>
          <w:szCs w:val="24"/>
        </w:rPr>
        <w:t xml:space="preserve">Suggested agenda</w:t>
      </w:r>
    </w:p>
    <w:tbl>
      <w:tblPr>
        <w:tblW w:type="dxa" w:w="9740"/>
        <w:tblBorders>
          <w:top w:val="single" w:color="C7D3DB" w:sz="4"/>
          <w:left w:val="single" w:color="C7D3DB" w:sz="4"/>
          <w:bottom w:val="single" w:color="C7D3DB" w:sz="4"/>
          <w:right w:val="single" w:color="C7D3DB" w:sz="4"/>
          <w:insideH w:val="single" w:color="C7D3DB" w:sz="4"/>
          <w:insideV w:val="single" w:color="C7D3DB" w:sz="4"/>
        </w:tblBorders>
      </w:tblPr>
      <w:tblGrid>
        <w:gridCol w:w="1500"/>
        <w:gridCol w:w="8240"/>
      </w:tblGrid>
      <w:tr>
        <w:trPr>
          <w:tblHeader/>
        </w:trPr>
        <w:tc>
          <w:tcPr>
            <w:tcW w:type="dxa" w:w="1500"/>
            <w:shd w:fill="004976" w:color="auto" w:val="clear"/>
            <w:tcMar>
              <w:top w:type="dxa" w:w="90"/>
              <w:left w:type="dxa" w:w="150"/>
              <w:bottom w:type="dxa" w:w="90"/>
              <w:right w:type="dxa" w:w="150"/>
            </w:tcMar>
            <w:vAlign w:val="center"/>
          </w:tcPr>
          <w:p>
            <w:r>
              <w:rPr>
                <w:b/>
                <w:bCs/>
                <w:color w:val="FFFFFF"/>
                <w:sz w:val="18"/>
                <w:szCs w:val="18"/>
              </w:rPr>
              <w:t xml:space="preserve">Time</w:t>
            </w:r>
          </w:p>
        </w:tc>
        <w:tc>
          <w:tcPr>
            <w:tcW w:type="dxa" w:w="8240"/>
            <w:shd w:fill="004976" w:color="auto" w:val="clear"/>
            <w:tcMar>
              <w:top w:type="dxa" w:w="90"/>
              <w:left w:type="dxa" w:w="150"/>
              <w:bottom w:type="dxa" w:w="90"/>
              <w:right w:type="dxa" w:w="150"/>
            </w:tcMar>
            <w:vAlign w:val="center"/>
          </w:tcPr>
          <w:p>
            <w:r>
              <w:rPr>
                <w:b/>
                <w:bCs/>
                <w:color w:val="FFFFFF"/>
                <w:sz w:val="18"/>
                <w:szCs w:val="18"/>
              </w:rPr>
              <w:t xml:space="preserve">Activity</w:t>
            </w:r>
          </w:p>
        </w:tc>
      </w:tr>
      <w:tr>
        <w:trPr>
          <w:cantSplit/>
        </w:trPr>
        <w:tc>
          <w:tcPr>
            <w:tcW w:type="dxa" w:w="1500"/>
            <w:shd w:fill="EAF1F5" w:color="auto" w:val="clear"/>
            <w:tcMar>
              <w:top w:type="dxa" w:w="90"/>
              <w:left w:type="dxa" w:w="150"/>
              <w:bottom w:type="dxa" w:w="90"/>
              <w:right w:type="dxa" w:w="150"/>
            </w:tcMar>
            <w:vAlign w:val="center"/>
          </w:tcPr>
          <w:p>
            <w:r>
              <w:rPr>
                <w:b/>
                <w:bCs/>
                <w:color w:val="004976"/>
                <w:sz w:val="18"/>
                <w:szCs w:val="18"/>
              </w:rPr>
              <w:t xml:space="preserve">0:00–0:10</w:t>
            </w:r>
          </w:p>
        </w:tc>
        <w:tc>
          <w:tcPr>
            <w:tcW w:type="dxa" w:w="8240"/>
            <w:tcMar>
              <w:top w:type="dxa" w:w="90"/>
              <w:left w:type="dxa" w:w="150"/>
              <w:bottom w:type="dxa" w:w="90"/>
              <w:right w:type="dxa" w:w="150"/>
            </w:tcMar>
          </w:tcPr>
          <w:p>
            <w:r>
              <w:rPr>
                <w:color w:val="222222"/>
                <w:sz w:val="19"/>
                <w:szCs w:val="19"/>
              </w:rPr>
              <w:t xml:space="preserve">Check-in and orientation. Remind participants what they will leave with today, and how the two sessions fit together.</w:t>
            </w:r>
          </w:p>
        </w:tc>
      </w:tr>
      <w:tr>
        <w:trPr>
          <w:cantSplit/>
        </w:trPr>
        <w:tc>
          <w:tcPr>
            <w:tcW w:type="dxa" w:w="1500"/>
            <w:shd w:fill="EAF1F5" w:color="auto" w:val="clear"/>
            <w:tcMar>
              <w:top w:type="dxa" w:w="90"/>
              <w:left w:type="dxa" w:w="150"/>
              <w:bottom w:type="dxa" w:w="90"/>
              <w:right w:type="dxa" w:w="150"/>
            </w:tcMar>
            <w:vAlign w:val="center"/>
          </w:tcPr>
          <w:p>
            <w:r>
              <w:rPr>
                <w:b/>
                <w:bCs/>
                <w:color w:val="004976"/>
                <w:sz w:val="18"/>
                <w:szCs w:val="18"/>
              </w:rPr>
              <w:t xml:space="preserve">0:10–0:35</w:t>
            </w:r>
          </w:p>
        </w:tc>
        <w:tc>
          <w:tcPr>
            <w:tcW w:type="dxa" w:w="8240"/>
            <w:tcMar>
              <w:top w:type="dxa" w:w="90"/>
              <w:left w:type="dxa" w:w="150"/>
              <w:bottom w:type="dxa" w:w="90"/>
              <w:right w:type="dxa" w:w="150"/>
            </w:tcMar>
          </w:tcPr>
          <w:p>
            <w:r>
              <w:rPr>
                <w:color w:val="222222"/>
                <w:sz w:val="19"/>
                <w:szCs w:val="19"/>
              </w:rPr>
              <w:t xml:space="preserve">The five parts of the mentor role, and the one decision under all of them. Anchor in the mentor’s moves; keep it practical.</w:t>
            </w:r>
          </w:p>
        </w:tc>
      </w:tr>
      <w:tr>
        <w:trPr>
          <w:cantSplit/>
        </w:trPr>
        <w:tc>
          <w:tcPr>
            <w:tcW w:type="dxa" w:w="1500"/>
            <w:shd w:fill="EAF1F5" w:color="auto" w:val="clear"/>
            <w:tcMar>
              <w:top w:type="dxa" w:w="90"/>
              <w:left w:type="dxa" w:w="150"/>
              <w:bottom w:type="dxa" w:w="90"/>
              <w:right w:type="dxa" w:w="150"/>
            </w:tcMar>
            <w:vAlign w:val="center"/>
          </w:tcPr>
          <w:p>
            <w:r>
              <w:rPr>
                <w:b/>
                <w:bCs/>
                <w:color w:val="004976"/>
                <w:sz w:val="18"/>
                <w:szCs w:val="18"/>
              </w:rPr>
              <w:t xml:space="preserve">0:35–1:10</w:t>
            </w:r>
          </w:p>
        </w:tc>
        <w:tc>
          <w:tcPr>
            <w:tcW w:type="dxa" w:w="8240"/>
            <w:tcMar>
              <w:top w:type="dxa" w:w="90"/>
              <w:left w:type="dxa" w:w="150"/>
              <w:bottom w:type="dxa" w:w="90"/>
              <w:right w:type="dxa" w:w="150"/>
            </w:tcMar>
          </w:tcPr>
          <w:p>
            <w:r>
              <w:rPr>
                <w:color w:val="222222"/>
                <w:sz w:val="19"/>
                <w:szCs w:val="19"/>
              </w:rPr>
              <w:t xml:space="preserve">Work the demonstration scenario together (see facilitation note).</w:t>
            </w:r>
          </w:p>
        </w:tc>
      </w:tr>
      <w:tr>
        <w:trPr>
          <w:cantSplit/>
        </w:trPr>
        <w:tc>
          <w:tcPr>
            <w:tcW w:type="dxa" w:w="1500"/>
            <w:shd w:fill="EAF1F5" w:color="auto" w:val="clear"/>
            <w:tcMar>
              <w:top w:type="dxa" w:w="90"/>
              <w:left w:type="dxa" w:w="150"/>
              <w:bottom w:type="dxa" w:w="90"/>
              <w:right w:type="dxa" w:w="150"/>
            </w:tcMar>
            <w:vAlign w:val="center"/>
          </w:tcPr>
          <w:p>
            <w:r>
              <w:rPr>
                <w:b/>
                <w:bCs/>
                <w:color w:val="004976"/>
                <w:sz w:val="18"/>
                <w:szCs w:val="18"/>
              </w:rPr>
              <w:t xml:space="preserve">1:10–1:20</w:t>
            </w:r>
          </w:p>
        </w:tc>
        <w:tc>
          <w:tcPr>
            <w:tcW w:type="dxa" w:w="8240"/>
            <w:tcMar>
              <w:top w:type="dxa" w:w="90"/>
              <w:left w:type="dxa" w:w="150"/>
              <w:bottom w:type="dxa" w:w="90"/>
              <w:right w:type="dxa" w:w="150"/>
            </w:tcMar>
          </w:tcPr>
          <w:p>
            <w:r>
              <w:rPr>
                <w:color w:val="222222"/>
                <w:sz w:val="19"/>
                <w:szCs w:val="19"/>
              </w:rPr>
              <w:t xml:space="preserve">Break.</w:t>
            </w:r>
          </w:p>
        </w:tc>
      </w:tr>
      <w:tr>
        <w:trPr>
          <w:cantSplit/>
        </w:trPr>
        <w:tc>
          <w:tcPr>
            <w:tcW w:type="dxa" w:w="1500"/>
            <w:shd w:fill="EAF1F5" w:color="auto" w:val="clear"/>
            <w:tcMar>
              <w:top w:type="dxa" w:w="90"/>
              <w:left w:type="dxa" w:w="150"/>
              <w:bottom w:type="dxa" w:w="90"/>
              <w:right w:type="dxa" w:w="150"/>
            </w:tcMar>
            <w:vAlign w:val="center"/>
          </w:tcPr>
          <w:p>
            <w:r>
              <w:rPr>
                <w:b/>
                <w:bCs/>
                <w:color w:val="004976"/>
                <w:sz w:val="18"/>
                <w:szCs w:val="18"/>
              </w:rPr>
              <w:t xml:space="preserve">1:20–1:45</w:t>
            </w:r>
          </w:p>
        </w:tc>
        <w:tc>
          <w:tcPr>
            <w:tcW w:type="dxa" w:w="8240"/>
            <w:tcMar>
              <w:top w:type="dxa" w:w="90"/>
              <w:left w:type="dxa" w:w="150"/>
              <w:bottom w:type="dxa" w:w="90"/>
              <w:right w:type="dxa" w:w="150"/>
            </w:tcMar>
          </w:tcPr>
          <w:p>
            <w:r>
              <w:rPr>
                <w:color w:val="222222"/>
                <w:sz w:val="19"/>
                <w:szCs w:val="19"/>
              </w:rPr>
              <w:t xml:space="preserve">Participants share their chosen learner in pairs or small groups, to sharpen Section 1. Initials or codes only.</w:t>
            </w:r>
          </w:p>
        </w:tc>
      </w:tr>
      <w:tr>
        <w:trPr>
          <w:cantSplit/>
        </w:trPr>
        <w:tc>
          <w:tcPr>
            <w:tcW w:type="dxa" w:w="1500"/>
            <w:shd w:fill="EAF1F5" w:color="auto" w:val="clear"/>
            <w:tcMar>
              <w:top w:type="dxa" w:w="90"/>
              <w:left w:type="dxa" w:w="150"/>
              <w:bottom w:type="dxa" w:w="90"/>
              <w:right w:type="dxa" w:w="150"/>
            </w:tcMar>
            <w:vAlign w:val="center"/>
          </w:tcPr>
          <w:p>
            <w:r>
              <w:rPr>
                <w:b/>
                <w:bCs/>
                <w:color w:val="004976"/>
                <w:sz w:val="18"/>
                <w:szCs w:val="18"/>
              </w:rPr>
              <w:t xml:space="preserve">1:45–2:00</w:t>
            </w:r>
          </w:p>
        </w:tc>
        <w:tc>
          <w:tcPr>
            <w:tcW w:type="dxa" w:w="8240"/>
            <w:tcMar>
              <w:top w:type="dxa" w:w="90"/>
              <w:left w:type="dxa" w:w="150"/>
              <w:bottom w:type="dxa" w:w="90"/>
              <w:right w:type="dxa" w:w="150"/>
            </w:tcMar>
          </w:tcPr>
          <w:p>
            <w:r>
              <w:rPr>
                <w:color w:val="222222"/>
                <w:sz w:val="19"/>
                <w:szCs w:val="19"/>
              </w:rPr>
              <w:t xml:space="preserve">Brief Independent Work 1. Confirm what to bring to Session 2. Close.</w:t>
            </w:r>
          </w:p>
        </w:tc>
      </w:tr>
    </w:tbl>
    <w:p>
      <w:pPr>
        <w:spacing w:after="120"/>
      </w:pPr>
      <w:r>
        <w:rPr>
          <w:color w:val="222222"/>
          <w:sz w:val="19"/>
          <w:szCs w:val="19"/>
        </w:rPr>
        <w:t xml:space="preserve"/>
      </w:r>
    </w:p>
    <w:p>
      <w:pPr>
        <w:spacing w:after="90" w:before="180"/>
      </w:pPr>
      <w:r>
        <w:rPr>
          <w:rFonts w:ascii="Roboto" w:cs="Roboto" w:eastAsia="Roboto" w:hAnsi="Roboto"/>
          <w:b/>
          <w:bCs/>
          <w:color w:val="004976"/>
          <w:sz w:val="24"/>
          <w:szCs w:val="24"/>
        </w:rPr>
        <w:t xml:space="preserve">Facilitation notes</w:t>
      </w:r>
    </w:p>
    <w:p>
      <w:pPr>
        <w:spacing w:after="0" w:before="130"/>
      </w:pPr>
      <w:r>
        <w:rPr>
          <w:b/>
          <w:bCs/>
          <w:color w:val="004976"/>
          <w:sz w:val="19"/>
          <w:szCs w:val="19"/>
        </w:rPr>
        <w:t xml:space="preserve">On the five parts.</w:t>
      </w:r>
      <w:r>
        <w:rPr>
          <w:color w:val="222222"/>
          <w:sz w:val="19"/>
          <w:szCs w:val="19"/>
        </w:rPr>
        <w:t xml:space="preserve"/>
      </w:r>
    </w:p>
    <w:p>
      <w:pPr>
        <w:spacing w:after="0"/>
      </w:pPr>
      <w:r>
        <w:rPr>
          <w:color w:val="222222"/>
          <w:sz w:val="19"/>
          <w:szCs w:val="19"/>
        </w:rPr>
        <w:t xml:space="preserve">Keep this short and practical. Anchor each part in one or two of the mentor’s moves rather than walking through all fifteen. What participants must leave with is the through-line: a mentor coaches a learner to find their own way, and knows when something needs more than coaching.</w:t>
      </w:r>
    </w:p>
    <w:p>
      <w:pPr>
        <w:spacing w:after="0" w:before="130"/>
      </w:pPr>
      <w:r>
        <w:rPr>
          <w:b/>
          <w:bCs/>
          <w:color w:val="004976"/>
          <w:sz w:val="19"/>
          <w:szCs w:val="19"/>
        </w:rPr>
        <w:t xml:space="preserve">On the demonstration scenario.</w:t>
      </w:r>
      <w:r>
        <w:rPr>
          <w:color w:val="222222"/>
          <w:sz w:val="19"/>
          <w:szCs w:val="19"/>
        </w:rPr>
        <w:t xml:space="preserve"/>
      </w:r>
    </w:p>
    <w:p>
      <w:pPr>
        <w:spacing w:after="0"/>
      </w:pPr>
      <w:r>
        <w:rPr>
          <w:color w:val="222222"/>
          <w:sz w:val="19"/>
          <w:szCs w:val="19"/>
        </w:rPr>
        <w:t xml:space="preserve">Run it live. Give participants two or three minutes, in pairs, to decide what they would actually do, before you open it up. Surface a range, including the instinct to simply fix the work, then name the coaching stance: handing the thinking back builds something a quick fix cannot. Use the facilitator notes for the demonstration scenario. Close by naming what comes next: the assessment scenarios test both holding this stance and knowing when to drop it and refer.</w:t>
      </w:r>
    </w:p>
    <w:p>
      <w:pPr>
        <w:spacing w:after="0" w:before="130"/>
      </w:pPr>
      <w:r>
        <w:rPr>
          <w:b/>
          <w:bCs/>
          <w:color w:val="004976"/>
          <w:sz w:val="19"/>
          <w:szCs w:val="19"/>
        </w:rPr>
        <w:t xml:space="preserve">Prompts</w:t>
      </w:r>
      <w:r>
        <w:rPr>
          <w:color w:val="222222"/>
          <w:sz w:val="19"/>
          <w:szCs w:val="19"/>
        </w:rPr>
        <w:t xml:space="preserve"/>
      </w:r>
    </w:p>
    <w:p>
      <w:pPr>
        <w:spacing w:after="0" w:before="40"/>
        <w:ind w:left="200"/>
      </w:pPr>
      <w:r>
        <w:rPr>
          <w:i/>
          <w:iCs/>
          <w:color w:val="555555"/>
          <w:sz w:val="18"/>
          <w:szCs w:val="18"/>
        </w:rPr>
        <w:t xml:space="preserve">“What would you actually do in the next five minutes of this meeting?”</w:t>
      </w:r>
    </w:p>
    <w:p>
      <w:pPr>
        <w:spacing w:after="0" w:before="40"/>
        <w:ind w:left="200"/>
      </w:pPr>
      <w:r>
        <w:rPr>
          <w:i/>
          <w:iCs/>
          <w:color w:val="555555"/>
          <w:sz w:val="18"/>
          <w:szCs w:val="18"/>
        </w:rPr>
        <w:t xml:space="preserve">“What does the mentee learn if you fix it for them?”</w:t>
      </w:r>
    </w:p>
    <w:p>
      <w:pPr>
        <w:spacing w:after="0" w:before="40"/>
        <w:ind w:left="200"/>
      </w:pPr>
      <w:r>
        <w:rPr>
          <w:i/>
          <w:iCs/>
          <w:color w:val="555555"/>
          <w:sz w:val="18"/>
          <w:szCs w:val="18"/>
        </w:rPr>
        <w:t xml:space="preserve">“Where might coaching be the wrong response, not only here but in general?”</w:t>
      </w:r>
    </w:p>
    <w:p>
      <w:pPr>
        <w:spacing w:after="0" w:before="130"/>
      </w:pPr>
      <w:r>
        <w:rPr>
          <w:b/>
          <w:bCs/>
          <w:color w:val="004976"/>
          <w:sz w:val="19"/>
          <w:szCs w:val="19"/>
        </w:rPr>
        <w:t xml:space="preserve">On sharing learners.</w:t>
      </w:r>
      <w:r>
        <w:rPr>
          <w:color w:val="222222"/>
          <w:sz w:val="19"/>
          <w:szCs w:val="19"/>
        </w:rPr>
        <w:t xml:space="preserve"/>
      </w:r>
    </w:p>
    <w:p>
      <w:pPr>
        <w:spacing w:after="0"/>
      </w:pPr>
      <w:r>
        <w:rPr>
          <w:color w:val="222222"/>
          <w:sz w:val="19"/>
          <w:szCs w:val="19"/>
        </w:rPr>
        <w:t xml:space="preserve">Initials or codes only, and no identifying details. The point is to sharpen Section 1, not to disclose real information about a young person.</w:t>
      </w:r>
    </w:p>
    <w:p>
      <w:pPr>
        <w:spacing w:after="200"/>
      </w:pPr>
      <w:r>
        <w:rPr>
          <w:color w:val="222222"/>
          <w:sz w:val="19"/>
          <w:szCs w:val="19"/>
        </w:rPr>
        <w:t xml:space="preserve"/>
      </w:r>
    </w:p>
    <w:tbl>
      <w:tblPr>
        <w:tblW w:type="dxa" w:w="9740"/>
        <w:tblBorders>
          <w:top w:val="single" w:color="004976" w:sz="4"/>
          <w:left w:val="single" w:color="004976" w:sz="4"/>
          <w:bottom w:val="single" w:color="004976" w:sz="4"/>
          <w:right w:val="single" w:color="004976" w:sz="4"/>
          <w:insideH w:val="single" w:color="004976" w:sz="4"/>
          <w:insideV w:val="single" w:color="004976" w:sz="4"/>
        </w:tblBorders>
      </w:tblPr>
      <w:tblGrid>
        <w:gridCol w:w="9740"/>
      </w:tblGrid>
      <w:tr>
        <w:tc>
          <w:tcPr>
            <w:tcW w:type="dxa" w:w="9740"/>
            <w:shd w:fill="004976" w:color="auto" w:val="clear"/>
            <w:tcMar>
              <w:top w:type="dxa" w:w="110"/>
              <w:left w:type="dxa" w:w="190"/>
              <w:bottom w:type="dxa" w:w="110"/>
              <w:right w:type="dxa" w:w="180"/>
            </w:tcMar>
          </w:tcPr>
          <w:p>
            <w:r>
              <w:rPr>
                <w:rFonts w:ascii="Roboto" w:cs="Roboto" w:eastAsia="Roboto" w:hAnsi="Roboto"/>
                <w:b/>
                <w:bCs/>
                <w:color w:val="FFFFFF"/>
                <w:sz w:val="24"/>
                <w:szCs w:val="24"/>
              </w:rPr>
              <w:t xml:space="preserve">Session 2</w:t>
            </w:r>
          </w:p>
          <w:p>
            <w:r>
              <w:rPr>
                <w:rFonts w:ascii="Roboto" w:cs="Roboto" w:eastAsia="Roboto" w:hAnsi="Roboto"/>
                <w:color w:val="FFFFFF"/>
                <w:sz w:val="17"/>
                <w:szCs w:val="17"/>
              </w:rPr>
              <w:t xml:space="preserve">Feedback, calibration, and getting to submission</w:t>
            </w:r>
          </w:p>
        </w:tc>
      </w:tr>
    </w:tbl>
    <w:p>
      <w:pPr>
        <w:spacing w:after="100"/>
      </w:pPr>
      <w:r>
        <w:rPr>
          <w:color w:val="222222"/>
          <w:sz w:val="19"/>
          <w:szCs w:val="19"/>
        </w:rPr>
        <w:t xml:space="preserve"/>
      </w:r>
    </w:p>
    <w:tbl>
      <w:tblPr>
        <w:tblW w:type="dxa" w:w="9740"/>
        <w:tblBorders>
          <w:top w:val="single" w:color="C7D3DB" w:sz="4"/>
          <w:left w:val="single" w:color="004976" w:sz="18"/>
          <w:bottom w:val="single" w:color="C7D3DB" w:sz="4"/>
          <w:right w:val="single" w:color="C7D3DB" w:sz="4"/>
          <w:insideH w:val="single" w:color="C7D3DB" w:sz="4"/>
          <w:insideV w:val="single" w:color="C7D3DB" w:sz="4"/>
        </w:tblBorders>
      </w:tblPr>
      <w:tblGrid>
        <w:gridCol w:w="9740"/>
      </w:tblGrid>
      <w:tr>
        <w:tc>
          <w:tcPr>
            <w:tcW w:type="dxa" w:w="9740"/>
            <w:shd w:fill="EAF1F5" w:color="auto" w:val="clear"/>
            <w:tcMar>
              <w:top w:type="dxa" w:w="130"/>
              <w:left w:type="dxa" w:w="180"/>
              <w:bottom w:type="dxa" w:w="130"/>
              <w:right w:type="dxa" w:w="180"/>
            </w:tcMar>
          </w:tcPr>
          <w:p>
            <w:r>
              <w:rPr>
                <w:b/>
                <w:bCs/>
                <w:color w:val="004976"/>
                <w:sz w:val="19"/>
                <w:szCs w:val="19"/>
              </w:rPr>
              <w:t xml:space="preserve">Purpose and outcomes.  </w:t>
            </w:r>
            <w:r>
              <w:rPr>
                <w:color w:val="222222"/>
                <w:sz w:val="19"/>
                <w:szCs w:val="19"/>
              </w:rPr>
              <w:t xml:space="preserve">By the end of Session 2, participants have given and received structured feedback on their scenario responses and plan, have tested the coach-or-refer decision against a peer and as a group, know what a finished submission looks like, and understand how Section 4 keeps the plan alive once they begin mentoring.</w:t>
            </w:r>
          </w:p>
        </w:tc>
      </w:tr>
    </w:tbl>
    <w:p>
      <w:pPr>
        <w:spacing w:after="120"/>
      </w:pPr>
      <w:r>
        <w:rPr>
          <w:color w:val="222222"/>
          <w:sz w:val="19"/>
          <w:szCs w:val="19"/>
        </w:rPr>
        <w:t xml:space="preserve"/>
      </w:r>
    </w:p>
    <w:p>
      <w:pPr>
        <w:spacing w:after="90" w:before="180"/>
      </w:pPr>
      <w:r>
        <w:rPr>
          <w:rFonts w:ascii="Roboto" w:cs="Roboto" w:eastAsia="Roboto" w:hAnsi="Roboto"/>
          <w:b/>
          <w:bCs/>
          <w:color w:val="004976"/>
          <w:sz w:val="24"/>
          <w:szCs w:val="24"/>
        </w:rPr>
        <w:t xml:space="preserve">Suggested agenda</w:t>
      </w:r>
    </w:p>
    <w:tbl>
      <w:tblPr>
        <w:tblW w:type="dxa" w:w="9740"/>
        <w:tblBorders>
          <w:top w:val="single" w:color="C7D3DB" w:sz="4"/>
          <w:left w:val="single" w:color="C7D3DB" w:sz="4"/>
          <w:bottom w:val="single" w:color="C7D3DB" w:sz="4"/>
          <w:right w:val="single" w:color="C7D3DB" w:sz="4"/>
          <w:insideH w:val="single" w:color="C7D3DB" w:sz="4"/>
          <w:insideV w:val="single" w:color="C7D3DB" w:sz="4"/>
        </w:tblBorders>
      </w:tblPr>
      <w:tblGrid>
        <w:gridCol w:w="1500"/>
        <w:gridCol w:w="8240"/>
      </w:tblGrid>
      <w:tr>
        <w:trPr>
          <w:tblHeader/>
        </w:trPr>
        <w:tc>
          <w:tcPr>
            <w:tcW w:type="dxa" w:w="1500"/>
            <w:shd w:fill="004976" w:color="auto" w:val="clear"/>
            <w:tcMar>
              <w:top w:type="dxa" w:w="90"/>
              <w:left w:type="dxa" w:w="150"/>
              <w:bottom w:type="dxa" w:w="90"/>
              <w:right w:type="dxa" w:w="150"/>
            </w:tcMar>
            <w:vAlign w:val="center"/>
          </w:tcPr>
          <w:p>
            <w:r>
              <w:rPr>
                <w:b/>
                <w:bCs/>
                <w:color w:val="FFFFFF"/>
                <w:sz w:val="18"/>
                <w:szCs w:val="18"/>
              </w:rPr>
              <w:t xml:space="preserve">Time</w:t>
            </w:r>
          </w:p>
        </w:tc>
        <w:tc>
          <w:tcPr>
            <w:tcW w:type="dxa" w:w="8240"/>
            <w:shd w:fill="004976" w:color="auto" w:val="clear"/>
            <w:tcMar>
              <w:top w:type="dxa" w:w="90"/>
              <w:left w:type="dxa" w:w="150"/>
              <w:bottom w:type="dxa" w:w="90"/>
              <w:right w:type="dxa" w:w="150"/>
            </w:tcMar>
            <w:vAlign w:val="center"/>
          </w:tcPr>
          <w:p>
            <w:r>
              <w:rPr>
                <w:b/>
                <w:bCs/>
                <w:color w:val="FFFFFF"/>
                <w:sz w:val="18"/>
                <w:szCs w:val="18"/>
              </w:rPr>
              <w:t xml:space="preserve">Activity</w:t>
            </w:r>
          </w:p>
        </w:tc>
      </w:tr>
      <w:tr>
        <w:trPr>
          <w:cantSplit/>
        </w:trPr>
        <w:tc>
          <w:tcPr>
            <w:tcW w:type="dxa" w:w="1500"/>
            <w:shd w:fill="EAF1F5" w:color="auto" w:val="clear"/>
            <w:tcMar>
              <w:top w:type="dxa" w:w="90"/>
              <w:left w:type="dxa" w:w="150"/>
              <w:bottom w:type="dxa" w:w="90"/>
              <w:right w:type="dxa" w:w="150"/>
            </w:tcMar>
            <w:vAlign w:val="center"/>
          </w:tcPr>
          <w:p>
            <w:r>
              <w:rPr>
                <w:b/>
                <w:bCs/>
                <w:color w:val="004976"/>
                <w:sz w:val="18"/>
                <w:szCs w:val="18"/>
              </w:rPr>
              <w:t xml:space="preserve">0:00–0:10</w:t>
            </w:r>
          </w:p>
        </w:tc>
        <w:tc>
          <w:tcPr>
            <w:tcW w:type="dxa" w:w="8240"/>
            <w:tcMar>
              <w:top w:type="dxa" w:w="90"/>
              <w:left w:type="dxa" w:w="150"/>
              <w:bottom w:type="dxa" w:w="90"/>
              <w:right w:type="dxa" w:w="150"/>
            </w:tcMar>
          </w:tcPr>
          <w:p>
            <w:r>
              <w:rPr>
                <w:color w:val="222222"/>
                <w:sz w:val="19"/>
                <w:szCs w:val="19"/>
              </w:rPr>
              <w:t xml:space="preserve">Check-in: how did the independent work go? Any common sticking points?</w:t>
            </w:r>
          </w:p>
        </w:tc>
      </w:tr>
      <w:tr>
        <w:trPr>
          <w:cantSplit/>
        </w:trPr>
        <w:tc>
          <w:tcPr>
            <w:tcW w:type="dxa" w:w="1500"/>
            <w:shd w:fill="EAF1F5" w:color="auto" w:val="clear"/>
            <w:tcMar>
              <w:top w:type="dxa" w:w="90"/>
              <w:left w:type="dxa" w:w="150"/>
              <w:bottom w:type="dxa" w:w="90"/>
              <w:right w:type="dxa" w:w="150"/>
            </w:tcMar>
            <w:vAlign w:val="center"/>
          </w:tcPr>
          <w:p>
            <w:r>
              <w:rPr>
                <w:b/>
                <w:bCs/>
                <w:color w:val="004976"/>
                <w:sz w:val="18"/>
                <w:szCs w:val="18"/>
              </w:rPr>
              <w:t xml:space="preserve">0:10–0:55</w:t>
            </w:r>
          </w:p>
        </w:tc>
        <w:tc>
          <w:tcPr>
            <w:tcW w:type="dxa" w:w="8240"/>
            <w:tcMar>
              <w:top w:type="dxa" w:w="90"/>
              <w:left w:type="dxa" w:w="150"/>
              <w:bottom w:type="dxa" w:w="90"/>
              <w:right w:type="dxa" w:w="150"/>
            </w:tcMar>
          </w:tcPr>
          <w:p>
            <w:r>
              <w:rPr>
                <w:color w:val="222222"/>
                <w:sz w:val="19"/>
                <w:szCs w:val="19"/>
              </w:rPr>
              <w:t xml:space="preserve">Peer feedback protocol on scenario responses and plans (see guidance below).</w:t>
            </w:r>
          </w:p>
        </w:tc>
      </w:tr>
      <w:tr>
        <w:trPr>
          <w:cantSplit/>
        </w:trPr>
        <w:tc>
          <w:tcPr>
            <w:tcW w:type="dxa" w:w="1500"/>
            <w:shd w:fill="EAF1F5" w:color="auto" w:val="clear"/>
            <w:tcMar>
              <w:top w:type="dxa" w:w="90"/>
              <w:left w:type="dxa" w:w="150"/>
              <w:bottom w:type="dxa" w:w="90"/>
              <w:right w:type="dxa" w:w="150"/>
            </w:tcMar>
            <w:vAlign w:val="center"/>
          </w:tcPr>
          <w:p>
            <w:r>
              <w:rPr>
                <w:b/>
                <w:bCs/>
                <w:color w:val="004976"/>
                <w:sz w:val="18"/>
                <w:szCs w:val="18"/>
              </w:rPr>
              <w:t xml:space="preserve">0:55–1:05</w:t>
            </w:r>
          </w:p>
        </w:tc>
        <w:tc>
          <w:tcPr>
            <w:tcW w:type="dxa" w:w="8240"/>
            <w:tcMar>
              <w:top w:type="dxa" w:w="90"/>
              <w:left w:type="dxa" w:w="150"/>
              <w:bottom w:type="dxa" w:w="90"/>
              <w:right w:type="dxa" w:w="150"/>
            </w:tcMar>
          </w:tcPr>
          <w:p>
            <w:r>
              <w:rPr>
                <w:color w:val="222222"/>
                <w:sz w:val="19"/>
                <w:szCs w:val="19"/>
              </w:rPr>
              <w:t xml:space="preserve">Break.</w:t>
            </w:r>
          </w:p>
        </w:tc>
      </w:tr>
      <w:tr>
        <w:trPr>
          <w:cantSplit/>
        </w:trPr>
        <w:tc>
          <w:tcPr>
            <w:tcW w:type="dxa" w:w="1500"/>
            <w:shd w:fill="EAF1F5" w:color="auto" w:val="clear"/>
            <w:tcMar>
              <w:top w:type="dxa" w:w="90"/>
              <w:left w:type="dxa" w:w="150"/>
              <w:bottom w:type="dxa" w:w="90"/>
              <w:right w:type="dxa" w:w="150"/>
            </w:tcMar>
            <w:vAlign w:val="center"/>
          </w:tcPr>
          <w:p>
            <w:r>
              <w:rPr>
                <w:b/>
                <w:bCs/>
                <w:color w:val="004976"/>
                <w:sz w:val="18"/>
                <w:szCs w:val="18"/>
              </w:rPr>
              <w:t xml:space="preserve">1:05–1:35</w:t>
            </w:r>
          </w:p>
        </w:tc>
        <w:tc>
          <w:tcPr>
            <w:tcW w:type="dxa" w:w="8240"/>
            <w:tcMar>
              <w:top w:type="dxa" w:w="90"/>
              <w:left w:type="dxa" w:w="150"/>
              <w:bottom w:type="dxa" w:w="90"/>
              <w:right w:type="dxa" w:w="150"/>
            </w:tcMar>
          </w:tcPr>
          <w:p>
            <w:r>
              <w:rPr>
                <w:color w:val="222222"/>
                <w:sz w:val="19"/>
                <w:szCs w:val="19"/>
              </w:rPr>
              <w:t xml:space="preserve">Group calibration on the safeguarding scenario (see facilitation note). This is the moderation heart of the session.</w:t>
            </w:r>
          </w:p>
        </w:tc>
      </w:tr>
      <w:tr>
        <w:trPr>
          <w:cantSplit/>
        </w:trPr>
        <w:tc>
          <w:tcPr>
            <w:tcW w:type="dxa" w:w="1500"/>
            <w:shd w:fill="EAF1F5" w:color="auto" w:val="clear"/>
            <w:tcMar>
              <w:top w:type="dxa" w:w="90"/>
              <w:left w:type="dxa" w:w="150"/>
              <w:bottom w:type="dxa" w:w="90"/>
              <w:right w:type="dxa" w:w="150"/>
            </w:tcMar>
            <w:vAlign w:val="center"/>
          </w:tcPr>
          <w:p>
            <w:r>
              <w:rPr>
                <w:b/>
                <w:bCs/>
                <w:color w:val="004976"/>
                <w:sz w:val="18"/>
                <w:szCs w:val="18"/>
              </w:rPr>
              <w:t xml:space="preserve">1:35–1:50</w:t>
            </w:r>
          </w:p>
        </w:tc>
        <w:tc>
          <w:tcPr>
            <w:tcW w:type="dxa" w:w="8240"/>
            <w:tcMar>
              <w:top w:type="dxa" w:w="90"/>
              <w:left w:type="dxa" w:w="150"/>
              <w:bottom w:type="dxa" w:w="90"/>
              <w:right w:type="dxa" w:w="150"/>
            </w:tcMar>
          </w:tcPr>
          <w:p>
            <w:r>
              <w:rPr>
                <w:color w:val="222222"/>
                <w:sz w:val="19"/>
                <w:szCs w:val="19"/>
              </w:rPr>
              <w:t xml:space="preserve">Issue the submission checklist. Introduce Section 4 of the Mentoring Plan and Record as the carry-forward record.</w:t>
            </w:r>
          </w:p>
        </w:tc>
      </w:tr>
      <w:tr>
        <w:trPr>
          <w:cantSplit/>
        </w:trPr>
        <w:tc>
          <w:tcPr>
            <w:tcW w:type="dxa" w:w="1500"/>
            <w:shd w:fill="EAF1F5" w:color="auto" w:val="clear"/>
            <w:tcMar>
              <w:top w:type="dxa" w:w="90"/>
              <w:left w:type="dxa" w:w="150"/>
              <w:bottom w:type="dxa" w:w="90"/>
              <w:right w:type="dxa" w:w="150"/>
            </w:tcMar>
            <w:vAlign w:val="center"/>
          </w:tcPr>
          <w:p>
            <w:r>
              <w:rPr>
                <w:b/>
                <w:bCs/>
                <w:color w:val="004976"/>
                <w:sz w:val="18"/>
                <w:szCs w:val="18"/>
              </w:rPr>
              <w:t xml:space="preserve">1:50–2:00</w:t>
            </w:r>
          </w:p>
        </w:tc>
        <w:tc>
          <w:tcPr>
            <w:tcW w:type="dxa" w:w="8240"/>
            <w:tcMar>
              <w:top w:type="dxa" w:w="90"/>
              <w:left w:type="dxa" w:w="150"/>
              <w:bottom w:type="dxa" w:w="90"/>
              <w:right w:type="dxa" w:w="150"/>
            </w:tcMar>
          </w:tcPr>
          <w:p>
            <w:r>
              <w:rPr>
                <w:color w:val="222222"/>
                <w:sz w:val="19"/>
                <w:szCs w:val="19"/>
              </w:rPr>
              <w:t xml:space="preserve">Brief Independent Work 2. Close.</w:t>
            </w:r>
          </w:p>
        </w:tc>
      </w:tr>
    </w:tbl>
    <w:p>
      <w:pPr>
        <w:spacing w:after="120"/>
      </w:pPr>
      <w:r>
        <w:rPr>
          <w:color w:val="222222"/>
          <w:sz w:val="19"/>
          <w:szCs w:val="19"/>
        </w:rPr>
        <w:t xml:space="preserve"/>
      </w:r>
    </w:p>
    <w:p>
      <w:pPr>
        <w:spacing w:after="90" w:before="180"/>
      </w:pPr>
      <w:r>
        <w:rPr>
          <w:rFonts w:ascii="Roboto" w:cs="Roboto" w:eastAsia="Roboto" w:hAnsi="Roboto"/>
          <w:b/>
          <w:bCs/>
          <w:color w:val="004976"/>
          <w:sz w:val="24"/>
          <w:szCs w:val="24"/>
        </w:rPr>
        <w:t xml:space="preserve">Peer feedback protocol</w:t>
      </w:r>
    </w:p>
    <w:p>
      <w:pPr>
        <w:spacing w:after="110"/>
      </w:pPr>
      <w:r>
        <w:rPr>
          <w:color w:val="222222"/>
          <w:sz w:val="19"/>
          <w:szCs w:val="19"/>
        </w:rPr>
        <w:t xml:space="preserve">Participants have the five-step protocol in their Participant Guide. Your job is to set it up and keep time. Two questions run underneath it: did the response keep the mentee the author of their own way forward, and did it recognise the point where mentoring was not enough?</w:t>
      </w:r>
    </w:p>
    <w:tbl>
      <w:tblPr>
        <w:tblW w:type="dxa" w:w="9740"/>
        <w:tblBorders>
          <w:top w:val="single" w:color="C7D3DB" w:sz="4"/>
          <w:left w:val="single" w:color="8F993E" w:sz="18"/>
          <w:bottom w:val="single" w:color="C7D3DB" w:sz="4"/>
          <w:right w:val="single" w:color="C7D3DB" w:sz="4"/>
          <w:insideH w:val="single" w:color="C7D3DB" w:sz="4"/>
          <w:insideV w:val="single" w:color="C7D3DB" w:sz="4"/>
        </w:tblBorders>
      </w:tblPr>
      <w:tblGrid>
        <w:gridCol w:w="9740"/>
      </w:tblGrid>
      <w:tr>
        <w:tc>
          <w:tcPr>
            <w:tcW w:type="dxa" w:w="9740"/>
            <w:shd w:fill="F2F4E9" w:color="auto" w:val="clear"/>
            <w:tcMar>
              <w:top w:type="dxa" w:w="130"/>
              <w:left w:type="dxa" w:w="180"/>
              <w:bottom w:type="dxa" w:w="130"/>
              <w:right w:type="dxa" w:w="180"/>
            </w:tcMar>
          </w:tcPr>
          <w:p>
            <w:r>
              <w:rPr>
                <w:b/>
                <w:bCs/>
                <w:color w:val="004976"/>
                <w:sz w:val="19"/>
                <w:szCs w:val="19"/>
              </w:rPr>
              <w:t xml:space="preserve">Grouping.  </w:t>
            </w:r>
            <w:r>
              <w:rPr>
                <w:color w:val="222222"/>
                <w:sz w:val="19"/>
                <w:szCs w:val="19"/>
              </w:rPr>
              <w:t xml:space="preserve">Pairs work best for smaller groups: each person presents once, about 20 minutes each. Groups of three suit cohorts of six to twelve, about 15 minutes each. Avoid groups larger than three for this protocol.</w:t>
            </w:r>
          </w:p>
        </w:tc>
      </w:tr>
    </w:tbl>
    <w:p>
      <w:pPr>
        <w:spacing w:after="90"/>
      </w:pPr>
      <w:r>
        <w:rPr>
          <w:color w:val="222222"/>
          <w:sz w:val="19"/>
          <w:szCs w:val="19"/>
        </w:rPr>
        <w:t xml:space="preserve"/>
      </w:r>
    </w:p>
    <w:tbl>
      <w:tblPr>
        <w:tblW w:type="dxa" w:w="9740"/>
        <w:tblBorders>
          <w:top w:val="single" w:color="C7D3DB" w:sz="4"/>
          <w:left w:val="single" w:color="8F993E" w:sz="18"/>
          <w:bottom w:val="single" w:color="C7D3DB" w:sz="4"/>
          <w:right w:val="single" w:color="C7D3DB" w:sz="4"/>
          <w:insideH w:val="single" w:color="C7D3DB" w:sz="4"/>
          <w:insideV w:val="single" w:color="C7D3DB" w:sz="4"/>
        </w:tblBorders>
      </w:tblPr>
      <w:tblGrid>
        <w:gridCol w:w="9740"/>
      </w:tblGrid>
      <w:tr>
        <w:tc>
          <w:tcPr>
            <w:tcW w:type="dxa" w:w="9740"/>
            <w:shd w:fill="F2F4E9" w:color="auto" w:val="clear"/>
            <w:tcMar>
              <w:top w:type="dxa" w:w="130"/>
              <w:left w:type="dxa" w:w="180"/>
              <w:bottom w:type="dxa" w:w="130"/>
              <w:right w:type="dxa" w:w="180"/>
            </w:tcMar>
          </w:tcPr>
          <w:p>
            <w:r>
              <w:rPr>
                <w:b/>
                <w:bCs/>
                <w:color w:val="004976"/>
                <w:sz w:val="19"/>
                <w:szCs w:val="19"/>
              </w:rPr>
              <w:t xml:space="preserve">In person and online.  </w:t>
            </w:r>
            <w:r>
              <w:rPr>
                <w:color w:val="222222"/>
                <w:sz w:val="19"/>
                <w:szCs w:val="19"/>
              </w:rPr>
              <w:t xml:space="preserve">In person, use separate spaces so pairs cannot overhear each other, and a visible timer. Online, set up breakout rooms in advance, share the protocol in the chat before sending people across, and send a five-minute warning before calling everyone back. In the debrief, ask one pair to share a moment where the coach-or-refer decision was live.</w:t>
            </w:r>
          </w:p>
        </w:tc>
      </w:tr>
    </w:tbl>
    <w:p>
      <w:pPr>
        <w:spacing w:after="120"/>
      </w:pPr>
      <w:r>
        <w:rPr>
          <w:color w:val="222222"/>
          <w:sz w:val="19"/>
          <w:szCs w:val="19"/>
        </w:rPr>
        <w:t xml:space="preserve"/>
      </w:r>
    </w:p>
    <w:p>
      <w:pPr>
        <w:spacing w:after="90" w:before="180"/>
      </w:pPr>
      <w:r>
        <w:rPr>
          <w:rFonts w:ascii="Roboto" w:cs="Roboto" w:eastAsia="Roboto" w:hAnsi="Roboto"/>
          <w:b/>
          <w:bCs/>
          <w:color w:val="004976"/>
          <w:sz w:val="24"/>
          <w:szCs w:val="24"/>
        </w:rPr>
        <w:t xml:space="preserve">Facilitation notes</w:t>
      </w:r>
    </w:p>
    <w:p>
      <w:pPr>
        <w:spacing w:after="0" w:before="130"/>
      </w:pPr>
      <w:r>
        <w:rPr>
          <w:b/>
          <w:bCs/>
          <w:color w:val="004976"/>
          <w:sz w:val="19"/>
          <w:szCs w:val="19"/>
        </w:rPr>
        <w:t xml:space="preserve">Group calibration on the safeguarding scenario.</w:t>
      </w:r>
      <w:r>
        <w:rPr>
          <w:color w:val="222222"/>
          <w:sz w:val="19"/>
          <w:szCs w:val="19"/>
        </w:rPr>
        <w:t xml:space="preserve"/>
      </w:r>
    </w:p>
    <w:p>
      <w:pPr>
        <w:spacing w:after="0"/>
      </w:pPr>
      <w:r>
        <w:rPr>
          <w:color w:val="222222"/>
          <w:sz w:val="19"/>
          <w:szCs w:val="19"/>
        </w:rPr>
        <w:t xml:space="preserve">This is where shared judgement is built. Take the safeguarding scenario as a whole group. Surface a range of responses and hold them against the facilitator notes: did participants recognise the boundary, avoid promising secrecy, and route to their own designated lead? Draw the contrast with the wellbeing scenario deliberately: distress alone is not a reason to refer, and refusing to refer is not resilience. Counter both over-coaching and over-escalation. Do not require anyone to name a universal procedure; there is not one.</w:t>
      </w:r>
    </w:p>
    <w:p>
      <w:pPr>
        <w:spacing w:after="0" w:before="130"/>
      </w:pPr>
      <w:r>
        <w:rPr>
          <w:b/>
          <w:bCs/>
          <w:color w:val="004976"/>
          <w:sz w:val="19"/>
          <w:szCs w:val="19"/>
        </w:rPr>
        <w:t xml:space="preserve">Handle with care.</w:t>
      </w:r>
      <w:r>
        <w:rPr>
          <w:color w:val="222222"/>
          <w:sz w:val="19"/>
          <w:szCs w:val="19"/>
        </w:rPr>
        <w:t xml:space="preserve"/>
      </w:r>
    </w:p>
    <w:p>
      <w:pPr>
        <w:spacing w:after="0"/>
      </w:pPr>
      <w:r>
        <w:rPr>
          <w:color w:val="222222"/>
          <w:sz w:val="19"/>
          <w:szCs w:val="19"/>
        </w:rPr>
        <w:t xml:space="preserve">Some participants will have experiences close to the safeguarding scenario. Signpost your setting’s own support, and let anyone step back who needs to.</w:t>
      </w:r>
    </w:p>
    <w:p>
      <w:pPr>
        <w:spacing w:after="0" w:before="130"/>
      </w:pPr>
      <w:r>
        <w:rPr>
          <w:b/>
          <w:bCs/>
          <w:color w:val="004976"/>
          <w:sz w:val="19"/>
          <w:szCs w:val="19"/>
        </w:rPr>
        <w:t xml:space="preserve">Prompts</w:t>
      </w:r>
      <w:r>
        <w:rPr>
          <w:color w:val="222222"/>
          <w:sz w:val="19"/>
          <w:szCs w:val="19"/>
        </w:rPr>
        <w:t xml:space="preserve"/>
      </w:r>
    </w:p>
    <w:p>
      <w:pPr>
        <w:spacing w:after="0" w:before="40"/>
        <w:ind w:left="200"/>
      </w:pPr>
      <w:r>
        <w:rPr>
          <w:i/>
          <w:iCs/>
          <w:color w:val="555555"/>
          <w:sz w:val="18"/>
          <w:szCs w:val="18"/>
        </w:rPr>
        <w:t xml:space="preserve">“Was there a point where coaching was the wrong move?”</w:t>
      </w:r>
    </w:p>
    <w:p>
      <w:pPr>
        <w:spacing w:after="0" w:before="40"/>
        <w:ind w:left="200"/>
      </w:pPr>
      <w:r>
        <w:rPr>
          <w:i/>
          <w:iCs/>
          <w:color w:val="555555"/>
          <w:sz w:val="18"/>
          <w:szCs w:val="18"/>
        </w:rPr>
        <w:t xml:space="preserve">“What did the mentee’s request for secrecy tell you?”</w:t>
      </w:r>
    </w:p>
    <w:p>
      <w:pPr>
        <w:spacing w:after="0" w:before="40"/>
        <w:ind w:left="200"/>
      </w:pPr>
      <w:r>
        <w:rPr>
          <w:i/>
          <w:iCs/>
          <w:color w:val="555555"/>
          <w:sz w:val="18"/>
          <w:szCs w:val="18"/>
        </w:rPr>
        <w:t xml:space="preserve">“What would you do within your own setting’s policy, specifically?”</w:t>
      </w:r>
    </w:p>
    <w:p>
      <w:pPr>
        <w:spacing w:after="200"/>
      </w:pPr>
      <w:r>
        <w:rPr>
          <w:color w:val="222222"/>
          <w:sz w:val="19"/>
          <w:szCs w:val="19"/>
        </w:rPr>
        <w:t xml:space="preserve"/>
      </w:r>
    </w:p>
    <w:tbl>
      <w:tblPr>
        <w:tblW w:type="dxa" w:w="9740"/>
        <w:tblBorders>
          <w:top w:val="single" w:color="004976" w:sz="4"/>
          <w:left w:val="single" w:color="004976" w:sz="4"/>
          <w:bottom w:val="single" w:color="004976" w:sz="4"/>
          <w:right w:val="single" w:color="004976" w:sz="4"/>
          <w:insideH w:val="single" w:color="004976" w:sz="4"/>
          <w:insideV w:val="single" w:color="004976" w:sz="4"/>
        </w:tblBorders>
      </w:tblPr>
      <w:tblGrid>
        <w:gridCol w:w="9740"/>
      </w:tblGrid>
      <w:tr>
        <w:tc>
          <w:tcPr>
            <w:tcW w:type="dxa" w:w="9740"/>
            <w:shd w:fill="004976" w:color="auto" w:val="clear"/>
            <w:tcMar>
              <w:top w:type="dxa" w:w="110"/>
              <w:left w:type="dxa" w:w="190"/>
              <w:bottom w:type="dxa" w:w="110"/>
              <w:right w:type="dxa" w:w="180"/>
            </w:tcMar>
          </w:tcPr>
          <w:p>
            <w:r>
              <w:rPr>
                <w:rFonts w:ascii="Roboto" w:cs="Roboto" w:eastAsia="Roboto" w:hAnsi="Roboto"/>
                <w:b/>
                <w:bCs/>
                <w:color w:val="FFFFFF"/>
                <w:sz w:val="24"/>
                <w:szCs w:val="24"/>
              </w:rPr>
              <w:t xml:space="preserve">Assessing for sign-off</w:t>
            </w:r>
          </w:p>
          <w:p>
            <w:r>
              <w:rPr>
                <w:rFonts w:ascii="Roboto" w:cs="Roboto" w:eastAsia="Roboto" w:hAnsi="Roboto"/>
                <w:color w:val="FFFFFF"/>
                <w:sz w:val="17"/>
                <w:szCs w:val="17"/>
              </w:rPr>
              <w:t xml:space="preserve">How you judge the plan and the scenario responses</w:t>
            </w:r>
          </w:p>
        </w:tc>
      </w:tr>
    </w:tbl>
    <w:p>
      <w:pPr>
        <w:spacing w:after="100"/>
      </w:pPr>
      <w:r>
        <w:rPr>
          <w:color w:val="222222"/>
          <w:sz w:val="19"/>
          <w:szCs w:val="19"/>
        </w:rPr>
        <w:t xml:space="preserve"/>
      </w:r>
    </w:p>
    <w:tbl>
      <w:tblPr>
        <w:tblW w:type="dxa" w:w="9740"/>
        <w:tblBorders>
          <w:top w:val="single" w:color="C7D3DB" w:sz="4"/>
          <w:left w:val="single" w:color="004976" w:sz="18"/>
          <w:bottom w:val="single" w:color="C7D3DB" w:sz="4"/>
          <w:right w:val="single" w:color="C7D3DB" w:sz="4"/>
          <w:insideH w:val="single" w:color="C7D3DB" w:sz="4"/>
          <w:insideV w:val="single" w:color="C7D3DB" w:sz="4"/>
        </w:tblBorders>
      </w:tblPr>
      <w:tblGrid>
        <w:gridCol w:w="9740"/>
      </w:tblGrid>
      <w:tr>
        <w:tc>
          <w:tcPr>
            <w:tcW w:type="dxa" w:w="9740"/>
            <w:shd w:fill="EAF1F5" w:color="auto" w:val="clear"/>
            <w:tcMar>
              <w:top w:type="dxa" w:w="130"/>
              <w:left w:type="dxa" w:w="180"/>
              <w:bottom w:type="dxa" w:w="130"/>
              <w:right w:type="dxa" w:w="180"/>
            </w:tcMar>
          </w:tcPr>
          <w:p>
            <w:r>
              <w:rPr>
                <w:b/>
                <w:bCs/>
                <w:color w:val="004976"/>
                <w:sz w:val="19"/>
                <w:szCs w:val="19"/>
              </w:rPr>
              <w:t xml:space="preserve">What you are judging.  </w:t>
            </w:r>
            <w:r>
              <w:rPr>
                <w:color w:val="222222"/>
                <w:sz w:val="19"/>
                <w:szCs w:val="19"/>
              </w:rPr>
              <w:t xml:space="preserve">Sign-off is made from what the participant submits: their mentoring plan (Sections 1 to 3 of the Mentoring Plan and Record) and their scenario responses. There is no observed practice and no separate sign-off conversation. You judge each of the three criteria Met or Not yet. All three Met is a pass. If any is Not yet, give specific written feedback and offer one resit, a revised submission with no follow-up call. If the resit is still Not yet, the participant re-enrols on a future cohort. The record form is in the module Sign-off Guide.</w:t>
            </w:r>
          </w:p>
        </w:tc>
      </w:tr>
    </w:tbl>
    <w:p>
      <w:pPr>
        <w:spacing w:after="120"/>
      </w:pPr>
      <w:r>
        <w:rPr>
          <w:color w:val="222222"/>
          <w:sz w:val="19"/>
          <w:szCs w:val="19"/>
        </w:rPr>
        <w:t xml:space="preserve"/>
      </w:r>
    </w:p>
    <w:p>
      <w:pPr>
        <w:spacing w:after="90" w:before="180"/>
      </w:pPr>
      <w:r>
        <w:rPr>
          <w:rFonts w:ascii="Roboto" w:cs="Roboto" w:eastAsia="Roboto" w:hAnsi="Roboto"/>
          <w:b/>
          <w:bCs/>
          <w:color w:val="004976"/>
          <w:sz w:val="24"/>
          <w:szCs w:val="24"/>
        </w:rPr>
        <w:t xml:space="preserve">What to look for</w:t>
      </w:r>
    </w:p>
    <w:p>
      <w:pPr>
        <w:spacing w:after="0" w:before="130"/>
      </w:pPr>
      <w:r>
        <w:rPr>
          <w:b/>
          <w:bCs/>
          <w:color w:val="004976"/>
          <w:sz w:val="19"/>
          <w:szCs w:val="19"/>
        </w:rPr>
        <w:t xml:space="preserve">Grounded in the learner and context.</w:t>
      </w:r>
      <w:r>
        <w:rPr>
          <w:color w:val="222222"/>
          <w:sz w:val="19"/>
          <w:szCs w:val="19"/>
        </w:rPr>
        <w:t xml:space="preserve"/>
      </w:r>
    </w:p>
    <w:p>
      <w:pPr>
        <w:spacing w:after="0"/>
      </w:pPr>
      <w:r>
        <w:rPr>
          <w:color w:val="222222"/>
          <w:sz w:val="19"/>
          <w:szCs w:val="19"/>
        </w:rPr>
        <w:t xml:space="preserve">The plan is built around a real learner, reflects their wellbeing as well as their progress, and is shaped by their actual context and the participant’s actual remit. A generic plan that could describe anyone has not met this.</w:t>
      </w:r>
    </w:p>
    <w:p>
      <w:pPr>
        <w:spacing w:after="0" w:before="130"/>
      </w:pPr>
      <w:r>
        <w:rPr>
          <w:b/>
          <w:bCs/>
          <w:color w:val="004976"/>
          <w:sz w:val="19"/>
          <w:szCs w:val="19"/>
        </w:rPr>
        <w:t xml:space="preserve">Sustained and structured.</w:t>
      </w:r>
      <w:r>
        <w:rPr>
          <w:color w:val="222222"/>
          <w:sz w:val="19"/>
          <w:szCs w:val="19"/>
        </w:rPr>
        <w:t xml:space="preserve"/>
      </w:r>
    </w:p>
    <w:p>
      <w:pPr>
        <w:spacing w:after="0"/>
      </w:pPr>
      <w:r>
        <w:rPr>
          <w:color w:val="222222"/>
          <w:sz w:val="19"/>
          <w:szCs w:val="19"/>
        </w:rPr>
        <w:t xml:space="preserve">The plan sets out a rhythm of support over time and says how progress and wellbeing will be tracked, rather than describing a one-off conversation.</w:t>
      </w:r>
    </w:p>
    <w:p>
      <w:pPr>
        <w:spacing w:after="0" w:before="130"/>
      </w:pPr>
      <w:r>
        <w:rPr>
          <w:b/>
          <w:bCs/>
          <w:color w:val="004976"/>
          <w:sz w:val="19"/>
          <w:szCs w:val="19"/>
        </w:rPr>
        <w:t xml:space="preserve">Sound mentoring judgement.</w:t>
      </w:r>
      <w:r>
        <w:rPr>
          <w:color w:val="222222"/>
          <w:sz w:val="19"/>
          <w:szCs w:val="19"/>
        </w:rPr>
        <w:t xml:space="preserve"/>
      </w:r>
    </w:p>
    <w:p>
      <w:pPr>
        <w:spacing w:after="0"/>
      </w:pPr>
      <w:r>
        <w:rPr>
          <w:color w:val="222222"/>
          <w:sz w:val="19"/>
          <w:szCs w:val="19"/>
        </w:rPr>
        <w:t xml:space="preserve">Across the scenario responses, the participant shows appropriate support, clear boundaries, and knowing when to signpost or escalate. The safeguarding scenario carries most of the weight here: a strong response recognises the boundary, does not promise secrecy, and routes to the participant’s own designated lead.</w:t>
      </w:r>
    </w:p>
    <w:p>
      <w:pPr>
        <w:spacing w:after="120"/>
      </w:pPr>
      <w:r>
        <w:rPr>
          <w:color w:val="222222"/>
          <w:sz w:val="19"/>
          <w:szCs w:val="19"/>
        </w:rPr>
        <w:t xml:space="preserve"/>
      </w:r>
    </w:p>
    <w:tbl>
      <w:tblPr>
        <w:tblW w:type="dxa" w:w="9740"/>
        <w:tblBorders>
          <w:top w:val="single" w:color="C7D3DB" w:sz="4"/>
          <w:left w:val="single" w:color="8F993E" w:sz="18"/>
          <w:bottom w:val="single" w:color="C7D3DB" w:sz="4"/>
          <w:right w:val="single" w:color="C7D3DB" w:sz="4"/>
          <w:insideH w:val="single" w:color="C7D3DB" w:sz="4"/>
          <w:insideV w:val="single" w:color="C7D3DB" w:sz="4"/>
        </w:tblBorders>
      </w:tblPr>
      <w:tblGrid>
        <w:gridCol w:w="9740"/>
      </w:tblGrid>
      <w:tr>
        <w:tc>
          <w:tcPr>
            <w:tcW w:type="dxa" w:w="9740"/>
            <w:shd w:fill="F2F4E9" w:color="auto" w:val="clear"/>
            <w:tcMar>
              <w:top w:type="dxa" w:w="130"/>
              <w:left w:type="dxa" w:w="180"/>
              <w:bottom w:type="dxa" w:w="130"/>
              <w:right w:type="dxa" w:w="180"/>
            </w:tcMar>
          </w:tcPr>
          <w:p>
            <w:r>
              <w:rPr>
                <w:b/>
                <w:bCs/>
                <w:color w:val="004976"/>
                <w:sz w:val="19"/>
                <w:szCs w:val="19"/>
              </w:rPr>
              <w:t xml:space="preserve">Judging the scenario responses fairly.  </w:t>
            </w:r>
            <w:r>
              <w:rPr>
                <w:color w:val="222222"/>
                <w:sz w:val="19"/>
                <w:szCs w:val="19"/>
              </w:rPr>
              <w:t xml:space="preserve">These are open responses, not a marked test, so judge the thinking rather than the wording. On the safeguarding scenario, do not fail someone for not naming a particular procedure; there is no universal one. Do treat it as Not yet if they promised secrecy, tried to handle it alone, coached the mentee to cope, or missed the boundary altogether. On the wellbeing scenario, watch for the opposite error: escalating a situation that, on what is described, is coachable.</w:t>
            </w:r>
          </w:p>
        </w:tc>
      </w:tr>
    </w:tbl>
    <w:p>
      <w:pPr>
        <w:spacing w:after="160"/>
      </w:pPr>
      <w:r>
        <w:rPr>
          <w:color w:val="222222"/>
          <w:sz w:val="19"/>
          <w:szCs w:val="19"/>
        </w:rPr>
        <w:t xml:space="preserve"/>
      </w:r>
    </w:p>
    <w:tbl>
      <w:tblPr>
        <w:tblW w:type="dxa" w:w="9740"/>
        <w:tblBorders>
          <w:top w:val="single" w:color="C7D3DB" w:sz="4"/>
          <w:left w:val="single" w:color="8F993E" w:sz="18"/>
          <w:bottom w:val="single" w:color="C7D3DB" w:sz="4"/>
          <w:right w:val="single" w:color="C7D3DB" w:sz="4"/>
          <w:insideH w:val="single" w:color="C7D3DB" w:sz="4"/>
          <w:insideV w:val="single" w:color="C7D3DB" w:sz="4"/>
        </w:tblBorders>
      </w:tblPr>
      <w:tblGrid>
        <w:gridCol w:w="9740"/>
      </w:tblGrid>
      <w:tr>
        <w:tc>
          <w:tcPr>
            <w:tcW w:type="dxa" w:w="9740"/>
            <w:shd w:fill="F2F4E9" w:color="auto" w:val="clear"/>
            <w:tcMar>
              <w:top w:type="dxa" w:w="130"/>
              <w:left w:type="dxa" w:w="180"/>
              <w:bottom w:type="dxa" w:w="130"/>
              <w:right w:type="dxa" w:w="180"/>
            </w:tcMar>
          </w:tcPr>
          <w:p>
            <w:r>
              <w:rPr>
                <w:b/>
                <w:bCs/>
                <w:color w:val="004976"/>
                <w:sz w:val="19"/>
                <w:szCs w:val="19"/>
              </w:rPr>
              <w:t xml:space="preserve">Adaptability.  </w:t>
            </w:r>
            <w:r>
              <w:rPr>
                <w:color w:val="222222"/>
                <w:sz w:val="19"/>
                <w:szCs w:val="19"/>
              </w:rPr>
              <w:t xml:space="preserve">The two sessions can be combined into a single longer session if your context requires it, and the independent estimates may flex. Any change to the overall training hours, or to the synchronous and independent balance, must be agreed in advance with Amala Education.</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7999B"/>
        <w:sz w:val="15"/>
        <w:szCs w:val="15"/>
      </w:rPr>
      <w:t xml:space="preserve">Amala Education for Change   ·   Being a mentor   ·   Trainer Guide      </w:t>
    </w:r>
    <w:r>
      <w:rPr>
        <w:color w:val="97999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222222"/>
        <w:sz w:val="19"/>
        <w:szCs w:val="19"/>
      </w:rPr>
    </w:rPrDefault>
    <w:pPrDefault>
      <w:pPr>
        <w:spacing w:line="26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Being a mentor – Trainer Guide</dc:title>
  <dc:creator>Amala Education for Change</dc:creator>
  <cp:lastModifiedBy>Un-named</cp:lastModifiedBy>
  <cp:revision>1</cp:revision>
  <dcterms:created xsi:type="dcterms:W3CDTF">2026-08-04T07:40:00.739Z</dcterms:created>
  <dcterms:modified xsi:type="dcterms:W3CDTF">2026-08-04T07:40:00.739Z</dcterms:modified>
</cp:coreProperties>
</file>

<file path=docProps/custom.xml><?xml version="1.0" encoding="utf-8"?>
<Properties xmlns="http://schemas.openxmlformats.org/officeDocument/2006/custom-properties" xmlns:vt="http://schemas.openxmlformats.org/officeDocument/2006/docPropsVTypes"/>
</file>