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004976" w:color="auto" w:val="clear"/>
            <w:tcMar>
              <w:top w:type="dxa" w:w="220"/>
              <w:left w:type="dxa" w:w="220"/>
              <w:bottom w:type="dxa" w:w="200"/>
              <w:right w:type="dxa" w:w="220"/>
            </w:tcMar>
          </w:tcPr>
          <w:p>
            <w:pPr>
              <w:spacing w:after="30" w:before="0"/>
            </w:pPr>
            <w:r>
              <w:rPr>
                <w:rFonts w:ascii="Roboto" w:cs="Roboto" w:eastAsia="Roboto" w:hAnsi="Roboto"/>
                <w:b/>
                <w:bCs/>
                <w:i w:val="false"/>
                <w:iCs w:val="false"/>
                <w:color w:val="FFFFFF"/>
                <w:sz w:val="30"/>
                <w:szCs w:val="30"/>
              </w:rPr>
              <w:t xml:space="preserve">amala</w:t>
            </w:r>
          </w:p>
          <w:p>
            <w:pPr>
              <w:spacing w:after="120" w:before="0"/>
            </w:pPr>
            <w:r>
              <w:rPr>
                <w:rFonts w:ascii="Roboto" w:cs="Roboto" w:eastAsia="Roboto" w:hAnsi="Roboto"/>
                <w:b w:val="false"/>
                <w:bCs w:val="false"/>
                <w:i w:val="false"/>
                <w:iCs w:val="false"/>
                <w:color w:val="CFE0EA"/>
                <w:sz w:val="16"/>
                <w:szCs w:val="16"/>
              </w:rPr>
              <w:t xml:space="preserve">Education for change</w:t>
            </w:r>
          </w:p>
          <w:p>
            <w:pPr>
              <w:spacing w:after="40" w:before="0"/>
            </w:pPr>
            <w:r>
              <w:rPr>
                <w:rFonts w:ascii="Roboto" w:cs="Roboto" w:eastAsia="Roboto" w:hAnsi="Roboto"/>
                <w:b/>
                <w:bCs/>
                <w:i w:val="false"/>
                <w:iCs w:val="false"/>
                <w:color w:val="FFFFFF"/>
                <w:sz w:val="32"/>
                <w:szCs w:val="32"/>
              </w:rPr>
              <w:t xml:space="preserve">Teaching English as a Second Language</w:t>
            </w:r>
          </w:p>
          <w:p>
            <w:pPr>
              <w:spacing w:after="0" w:before="0"/>
            </w:pPr>
            <w:r>
              <w:rPr>
                <w:rFonts w:ascii="Roboto" w:cs="Roboto" w:eastAsia="Roboto" w:hAnsi="Roboto"/>
                <w:b w:val="false"/>
                <w:bCs w:val="false"/>
                <w:i w:val="false"/>
                <w:iCs w:val="false"/>
                <w:color w:val="CFE0EA"/>
                <w:sz w:val="18"/>
                <w:szCs w:val="18"/>
              </w:rPr>
              <w:t xml:space="preserve">Module Sign-off Guide   ·   How trainers confirm an educator has met the standard</w:t>
            </w:r>
          </w:p>
        </w:tc>
      </w:tr>
    </w:tbl>
    <w:tbl>
      <w:tblPr>
        <w:tblW w:type="dxa" w:w="9700"/>
        <w:tblBorders>
          <w:top w:val="none" w:color="FFFFFF" w:sz="0"/>
          <w:left w:val="none" w:color="FFFFFF" w:sz="0"/>
          <w:bottom w:val="single" w:color="8F993E" w:sz="12"/>
          <w:right w:val="none" w:color="FFFFFF" w:sz="0"/>
          <w:insideH w:val="none" w:color="FFFFFF" w:sz="0"/>
          <w:insideV w:val="none" w:color="FFFFFF" w:sz="0"/>
        </w:tblBorders>
      </w:tblPr>
      <w:tblGrid>
        <w:gridCol w:w="9700"/>
      </w:tblGrid>
      <w:tr>
        <w:tc>
          <w:tcPr>
            <w:tcW w:type="dxa" w:w="9700"/>
          </w:tcPr>
          <w:p>
            <w:pPr>
              <w:spacing w:after="0" w:before="0"/>
            </w:pPr>
            <w:r>
              <w:rPr>
                <w:rFonts w:ascii="Lato" w:cs="Lato" w:eastAsia="Lato" w:hAnsi="Lato"/>
                <w:b w:val="false"/>
                <w:bCs w:val="false"/>
                <w:i w:val="false"/>
                <w:iCs w:val="false"/>
                <w:color w:val="1A1A1A"/>
                <w:sz w:val="20"/>
                <w:szCs w:val="20"/>
              </w:rPr>
              <w:t xml:space="preserve"/>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What sign-off is.   </w:t>
            </w:r>
            <w:r>
              <w:rPr>
                <w:rFonts w:ascii="Lato" w:cs="Lato" w:eastAsia="Lato" w:hAnsi="Lato"/>
                <w:b w:val="false"/>
                <w:bCs w:val="false"/>
                <w:i w:val="false"/>
                <w:iCs w:val="false"/>
                <w:color w:val="1A1A1A"/>
                <w:sz w:val="20"/>
                <w:szCs w:val="20"/>
              </w:rPr>
              <w:t xml:space="preserve">Sign-off is how a trainer confirms that an educator has met the standard for this module. It is based on the language-development scheme the educator produces during the training. There is no observed teaching and no separate sign-off conversation at this stage: the judgement is made from what the educator submits. A pass means the educator holds the Teaching English as a Second Language module, which is recorded in the qualification register and travels with them across Amala programmes.</w:t>
            </w:r>
          </w:p>
        </w:tc>
      </w:tr>
    </w:tbl>
    <w:p>
      <w:pPr>
        <w:spacing w:after="120" w:before="0"/>
      </w:pPr>
      <w:r>
        <w:rPr>
          <w:rFonts w:ascii="Lato" w:cs="Lato" w:eastAsia="Lato" w:hAnsi="Lato"/>
          <w:b w:val="false"/>
          <w:bCs w:val="false"/>
          <w:i w:val="false"/>
          <w:iCs w:val="false"/>
          <w:color w:val="1A1A1A"/>
          <w:sz w:val="20"/>
          <w:szCs w:val="20"/>
        </w:rPr>
        <w:t xml:space="preserve"/>
      </w:r>
    </w:p>
    <w:p>
      <w:pPr>
        <w:spacing w:after="70" w:before="150"/>
      </w:pPr>
      <w:r>
        <w:rPr>
          <w:rFonts w:ascii="Roboto" w:cs="Roboto" w:eastAsia="Roboto" w:hAnsi="Roboto"/>
          <w:b/>
          <w:bCs/>
          <w:i w:val="false"/>
          <w:iCs w:val="false"/>
          <w:color w:val="004976"/>
          <w:sz w:val="21"/>
          <w:szCs w:val="21"/>
        </w:rPr>
        <w:t xml:space="preserve">What the educator submits</w:t>
      </w:r>
    </w:p>
    <w:p>
      <w:pPr>
        <w:spacing w:after="80" w:before="0"/>
      </w:pPr>
      <w:r>
        <w:rPr>
          <w:rFonts w:ascii="Lato" w:cs="Lato" w:eastAsia="Lato" w:hAnsi="Lato"/>
          <w:b w:val="false"/>
          <w:bCs w:val="false"/>
          <w:i w:val="false"/>
          <w:iCs w:val="false"/>
          <w:color w:val="1A1A1A"/>
          <w:sz w:val="20"/>
          <w:szCs w:val="20"/>
        </w:rPr>
        <w:t xml:space="preserve">By the end of the training, the educator submits:</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a short language-development scheme (three to six steps for a single piece of learning)</w:t>
            </w:r>
            <w:r>
              <w:rPr>
                <w:rFonts w:ascii="Lato" w:cs="Lato" w:eastAsia="Lato" w:hAnsi="Lato"/>
                <w:b w:val="false"/>
                <w:bCs w:val="false"/>
                <w:i w:val="false"/>
                <w:iCs w:val="false"/>
                <w:color w:val="1A1A1A"/>
                <w:sz w:val="20"/>
                <w:szCs w:val="20"/>
              </w:rPr>
              <w:t xml:space="preserve"> that develops English at and around CEFR A1 for their learners, showing explicit language development drawn from and connected to the learning learners are already doing. It is submitted with Sections 1, 2 and 5 of the Planning Guide.</w:t>
            </w:r>
          </w:p>
        </w:tc>
      </w:tr>
    </w:tbl>
    <w:p>
      <w:pPr>
        <w:spacing w:after="120" w:before="0"/>
      </w:pPr>
      <w:r>
        <w:rPr>
          <w:rFonts w:ascii="Lato" w:cs="Lato" w:eastAsia="Lato" w:hAnsi="Lato"/>
          <w:b w:val="false"/>
          <w:bCs w:val="false"/>
          <w:i w:val="false"/>
          <w:iCs w:val="false"/>
          <w:color w:val="1A1A1A"/>
          <w:sz w:val="20"/>
          <w:szCs w:val="20"/>
        </w:rPr>
        <w:t xml:space="preserve"/>
      </w:r>
    </w:p>
    <w:p>
      <w:pPr>
        <w:spacing w:after="70" w:before="150"/>
      </w:pPr>
      <w:r>
        <w:rPr>
          <w:rFonts w:ascii="Roboto" w:cs="Roboto" w:eastAsia="Roboto" w:hAnsi="Roboto"/>
          <w:b/>
          <w:bCs/>
          <w:i w:val="false"/>
          <w:iCs w:val="false"/>
          <w:color w:val="004976"/>
          <w:sz w:val="21"/>
          <w:szCs w:val="21"/>
        </w:rPr>
        <w:t xml:space="preserve">How it is assessed</w:t>
      </w:r>
    </w:p>
    <w:p>
      <w:pPr>
        <w:spacing w:after="80" w:before="0"/>
      </w:pPr>
      <w:r>
        <w:rPr>
          <w:rFonts w:ascii="Lato" w:cs="Lato" w:eastAsia="Lato" w:hAnsi="Lato"/>
          <w:b w:val="false"/>
          <w:bCs w:val="false"/>
          <w:i w:val="false"/>
          <w:iCs w:val="false"/>
          <w:color w:val="1A1A1A"/>
          <w:sz w:val="20"/>
          <w:szCs w:val="20"/>
        </w:rPr>
        <w:t xml:space="preserve">The trainer reviews the scheme against the three criteria below. Each criterion is judged Met or Not yet.</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3200"/>
        <w:gridCol w:w="6500"/>
      </w:tblGrid>
      <w:tr>
        <w:trPr>
          <w:tblHeader/>
        </w:trPr>
        <w:tc>
          <w:tcPr>
            <w:tcW w:type="dxa" w:w="32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Criterion</w:t>
            </w:r>
          </w:p>
        </w:tc>
        <w:tc>
          <w:tcPr>
            <w:tcW w:type="dxa" w:w="6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“Met” looks like</w:t>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Pitched to the level</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The English is realistic and scaffolded for learners at and around CEFR A1.</w:t>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Sound language-development approach</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Clear language objectives, developed through real use and meaningful communication.</w:t>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Purposeful and connected</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The English is drawn from learning that matters to learners and, where there is wider learning, connects to it rather than sitting apart.</w:t>
            </w:r>
          </w:p>
        </w:tc>
      </w:tr>
    </w:tbl>
    <w:p>
      <w:pPr>
        <w:spacing w:after="12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single" w:color="8F993E" w:sz="22"/>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30"/>
              <w:left w:type="dxa" w:w="180"/>
              <w:bottom w:type="dxa" w:w="130"/>
              <w:right w:type="dxa" w:w="170"/>
            </w:tcMar>
          </w:tcPr>
          <w:p>
            <w:pPr>
              <w:spacing w:after="0" w:before="0"/>
            </w:pPr>
            <w:r>
              <w:rPr>
                <w:rFonts w:ascii="Lato" w:cs="Lato" w:eastAsia="Lato" w:hAnsi="Lato"/>
                <w:b/>
                <w:bCs/>
                <w:i w:val="false"/>
                <w:iCs w:val="false"/>
                <w:color w:val="004976"/>
                <w:sz w:val="20"/>
                <w:szCs w:val="20"/>
              </w:rPr>
              <w:t xml:space="preserve">The threshold.   </w:t>
            </w:r>
            <w:r>
              <w:rPr>
                <w:rFonts w:ascii="Lato" w:cs="Lato" w:eastAsia="Lato" w:hAnsi="Lato"/>
                <w:b w:val="false"/>
                <w:bCs w:val="false"/>
                <w:i w:val="false"/>
                <w:iCs w:val="false"/>
                <w:color w:val="1A1A1A"/>
                <w:sz w:val="20"/>
                <w:szCs w:val="20"/>
              </w:rPr>
              <w:t xml:space="preserve">All three criteria Met is a pass. If any criterion is Not yet, the trainer gives specific written feedback and the educator has one resit: a revised submission, with no follow-up call. If the resit is still Not yet, the educator re-enrols on a future cohort.</w:t>
            </w:r>
          </w:p>
        </w:tc>
      </w:tr>
    </w:tbl>
    <w:p>
      <w:pPr>
        <w:spacing w:after="150" w:before="0"/>
      </w:pPr>
      <w:r>
        <w:rPr>
          <w:rFonts w:ascii="Lato" w:cs="Lato" w:eastAsia="Lato" w:hAnsi="Lato"/>
          <w:b w:val="false"/>
          <w:bCs w:val="false"/>
          <w:i w:val="false"/>
          <w:iCs w:val="false"/>
          <w:color w:val="1A1A1A"/>
          <w:sz w:val="20"/>
          <w:szCs w:val="20"/>
        </w:rPr>
        <w:t xml:space="preserve"/>
      </w:r>
    </w:p>
    <w:p>
      <w:pPr>
        <w:spacing w:after="70" w:before="150"/>
      </w:pPr>
      <w:r>
        <w:rPr>
          <w:rFonts w:ascii="Roboto" w:cs="Roboto" w:eastAsia="Roboto" w:hAnsi="Roboto"/>
          <w:b/>
          <w:bCs/>
          <w:i w:val="false"/>
          <w:iCs w:val="false"/>
          <w:color w:val="004976"/>
          <w:sz w:val="21"/>
          <w:szCs w:val="21"/>
        </w:rPr>
        <w:t xml:space="preserve">Sign-off record</w:t>
      </w:r>
    </w:p>
    <w:p>
      <w:pPr>
        <w:spacing w:after="90" w:before="0"/>
      </w:pPr>
      <w:r>
        <w:rPr>
          <w:rFonts w:ascii="Lato" w:cs="Lato" w:eastAsia="Lato" w:hAnsi="Lato"/>
          <w:b w:val="false"/>
          <w:bCs w:val="false"/>
          <w:i w:val="false"/>
          <w:iCs w:val="false"/>
          <w:color w:val="1A1A1A"/>
          <w:sz w:val="20"/>
          <w:szCs w:val="20"/>
        </w:rPr>
        <w:t xml:space="preserve">The trainer completes one record per educator and files it so the result can be entered in the qualification register.</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3200"/>
        <w:gridCol w:w="6500"/>
      </w:tblGrid>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Educator name</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Learners and context</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Cohort / date</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Trainer</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bl>
    <w:p>
      <w:pPr>
        <w:spacing w:after="9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300"/>
        <w:gridCol w:w="1500"/>
        <w:gridCol w:w="1500"/>
        <w:gridCol w:w="2400"/>
      </w:tblGrid>
      <w:tr>
        <w:trPr>
          <w:tblHeader/>
        </w:trPr>
        <w:tc>
          <w:tcPr>
            <w:tcW w:type="dxa" w:w="43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Criterion</w:t>
            </w:r>
          </w:p>
        </w:tc>
        <w:tc>
          <w:tcPr>
            <w:tcW w:type="dxa" w:w="1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
            </w:r>
          </w:p>
        </w:tc>
        <w:tc>
          <w:tcPr>
            <w:tcW w:type="dxa" w:w="1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
            </w:r>
          </w:p>
        </w:tc>
        <w:tc>
          <w:tcPr>
            <w:tcW w:type="dxa" w:w="24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Notes</w:t>
            </w:r>
          </w:p>
        </w:tc>
      </w:tr>
      <w:tr>
        <w:trPr>
          <w:cantSplit/>
        </w:trPr>
        <w:tc>
          <w:tcPr>
            <w:tcW w:type="dxa" w:w="43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Pitched to the level</w:t>
            </w:r>
          </w:p>
        </w:tc>
        <w:tc>
          <w:tcPr>
            <w:tcW w:type="dxa" w:w="1500"/>
            <w:tcMar>
              <w:top w:type="dxa" w:w="90"/>
              <w:left w:type="dxa" w:w="120"/>
              <w:bottom w:type="dxa" w:w="90"/>
              <w:right w:type="dxa" w:w="120"/>
            </w:tcMar>
            <w:vAlign w:val="center"/>
          </w:tcPr>
          <w:p>
            <w:pPr>
              <w:spacing w:after="0" w:before="0"/>
              <w:jc w:val="center"/>
            </w:pPr>
            <w:r>
              <w:rPr>
                <w:rFonts w:ascii="Lato" w:cs="Lato" w:eastAsia="Lato" w:hAnsi="Lato"/>
                <w:b w:val="false"/>
                <w:bCs w:val="false"/>
                <w:i w:val="false"/>
                <w:iCs w:val="false"/>
                <w:color w:val="1A1A1A"/>
                <w:sz w:val="20"/>
                <w:szCs w:val="20"/>
              </w:rPr>
              <w:t xml:space="preserve">☐ Met</w:t>
            </w:r>
          </w:p>
        </w:tc>
        <w:tc>
          <w:tcPr>
            <w:tcW w:type="dxa" w:w="1500"/>
            <w:tcMar>
              <w:top w:type="dxa" w:w="90"/>
              <w:left w:type="dxa" w:w="120"/>
              <w:bottom w:type="dxa" w:w="90"/>
              <w:right w:type="dxa" w:w="120"/>
            </w:tcMar>
            <w:vAlign w:val="center"/>
          </w:tcPr>
          <w:p>
            <w:pPr>
              <w:spacing w:after="0" w:before="0"/>
              <w:jc w:val="center"/>
            </w:pPr>
            <w:r>
              <w:rPr>
                <w:rFonts w:ascii="Lato" w:cs="Lato" w:eastAsia="Lato" w:hAnsi="Lato"/>
                <w:b w:val="false"/>
                <w:bCs w:val="false"/>
                <w:i w:val="false"/>
                <w:iCs w:val="false"/>
                <w:color w:val="1A1A1A"/>
                <w:sz w:val="20"/>
                <w:szCs w:val="20"/>
              </w:rPr>
              <w:t xml:space="preserve">☐ Not yet</w:t>
            </w:r>
          </w:p>
        </w:tc>
        <w:tc>
          <w:tcPr>
            <w:tcW w:type="dxa" w:w="24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43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Sound language-development approach</w:t>
            </w:r>
          </w:p>
        </w:tc>
        <w:tc>
          <w:tcPr>
            <w:tcW w:type="dxa" w:w="1500"/>
            <w:tcMar>
              <w:top w:type="dxa" w:w="90"/>
              <w:left w:type="dxa" w:w="120"/>
              <w:bottom w:type="dxa" w:w="90"/>
              <w:right w:type="dxa" w:w="120"/>
            </w:tcMar>
            <w:vAlign w:val="center"/>
          </w:tcPr>
          <w:p>
            <w:pPr>
              <w:spacing w:after="0" w:before="0"/>
              <w:jc w:val="center"/>
            </w:pPr>
            <w:r>
              <w:rPr>
                <w:rFonts w:ascii="Lato" w:cs="Lato" w:eastAsia="Lato" w:hAnsi="Lato"/>
                <w:b w:val="false"/>
                <w:bCs w:val="false"/>
                <w:i w:val="false"/>
                <w:iCs w:val="false"/>
                <w:color w:val="1A1A1A"/>
                <w:sz w:val="20"/>
                <w:szCs w:val="20"/>
              </w:rPr>
              <w:t xml:space="preserve">☐ Met</w:t>
            </w:r>
          </w:p>
        </w:tc>
        <w:tc>
          <w:tcPr>
            <w:tcW w:type="dxa" w:w="1500"/>
            <w:tcMar>
              <w:top w:type="dxa" w:w="90"/>
              <w:left w:type="dxa" w:w="120"/>
              <w:bottom w:type="dxa" w:w="90"/>
              <w:right w:type="dxa" w:w="120"/>
            </w:tcMar>
            <w:vAlign w:val="center"/>
          </w:tcPr>
          <w:p>
            <w:pPr>
              <w:spacing w:after="0" w:before="0"/>
              <w:jc w:val="center"/>
            </w:pPr>
            <w:r>
              <w:rPr>
                <w:rFonts w:ascii="Lato" w:cs="Lato" w:eastAsia="Lato" w:hAnsi="Lato"/>
                <w:b w:val="false"/>
                <w:bCs w:val="false"/>
                <w:i w:val="false"/>
                <w:iCs w:val="false"/>
                <w:color w:val="1A1A1A"/>
                <w:sz w:val="20"/>
                <w:szCs w:val="20"/>
              </w:rPr>
              <w:t xml:space="preserve">☐ Not yet</w:t>
            </w:r>
          </w:p>
        </w:tc>
        <w:tc>
          <w:tcPr>
            <w:tcW w:type="dxa" w:w="24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43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Purposeful and connected</w:t>
            </w:r>
          </w:p>
        </w:tc>
        <w:tc>
          <w:tcPr>
            <w:tcW w:type="dxa" w:w="1500"/>
            <w:tcMar>
              <w:top w:type="dxa" w:w="90"/>
              <w:left w:type="dxa" w:w="120"/>
              <w:bottom w:type="dxa" w:w="90"/>
              <w:right w:type="dxa" w:w="120"/>
            </w:tcMar>
            <w:vAlign w:val="center"/>
          </w:tcPr>
          <w:p>
            <w:pPr>
              <w:spacing w:after="0" w:before="0"/>
              <w:jc w:val="center"/>
            </w:pPr>
            <w:r>
              <w:rPr>
                <w:rFonts w:ascii="Lato" w:cs="Lato" w:eastAsia="Lato" w:hAnsi="Lato"/>
                <w:b w:val="false"/>
                <w:bCs w:val="false"/>
                <w:i w:val="false"/>
                <w:iCs w:val="false"/>
                <w:color w:val="1A1A1A"/>
                <w:sz w:val="20"/>
                <w:szCs w:val="20"/>
              </w:rPr>
              <w:t xml:space="preserve">☐ Met</w:t>
            </w:r>
          </w:p>
        </w:tc>
        <w:tc>
          <w:tcPr>
            <w:tcW w:type="dxa" w:w="1500"/>
            <w:tcMar>
              <w:top w:type="dxa" w:w="90"/>
              <w:left w:type="dxa" w:w="120"/>
              <w:bottom w:type="dxa" w:w="90"/>
              <w:right w:type="dxa" w:w="120"/>
            </w:tcMar>
            <w:vAlign w:val="center"/>
          </w:tcPr>
          <w:p>
            <w:pPr>
              <w:spacing w:after="0" w:before="0"/>
              <w:jc w:val="center"/>
            </w:pPr>
            <w:r>
              <w:rPr>
                <w:rFonts w:ascii="Lato" w:cs="Lato" w:eastAsia="Lato" w:hAnsi="Lato"/>
                <w:b w:val="false"/>
                <w:bCs w:val="false"/>
                <w:i w:val="false"/>
                <w:iCs w:val="false"/>
                <w:color w:val="1A1A1A"/>
                <w:sz w:val="20"/>
                <w:szCs w:val="20"/>
              </w:rPr>
              <w:t xml:space="preserve">☐ Not yet</w:t>
            </w:r>
          </w:p>
        </w:tc>
        <w:tc>
          <w:tcPr>
            <w:tcW w:type="dxa" w:w="24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bl>
    <w:p>
      <w:pPr>
        <w:spacing w:after="9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3200"/>
        <w:gridCol w:w="6500"/>
      </w:tblGrid>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Outcome</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Pass          ☐ Resit required</w:t>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Date of decision</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Resit due (if applicable)</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cantSplit/>
        </w:trPr>
        <w:tc>
          <w:tcPr>
            <w:tcW w:type="dxa" w:w="3200"/>
            <w:shd w:fill="EAF1F5" w:color="auto" w:val="clear"/>
            <w:tcMar>
              <w:top w:type="dxa" w:w="90"/>
              <w:left w:type="dxa" w:w="120"/>
              <w:bottom w:type="dxa" w:w="90"/>
              <w:right w:type="dxa" w:w="120"/>
            </w:tcMar>
            <w:vAlign w:val="top"/>
          </w:tcPr>
          <w:p>
            <w:pPr>
              <w:spacing w:after="0" w:before="0"/>
            </w:pPr>
            <w:r>
              <w:rPr>
                <w:rFonts w:ascii="Lato" w:cs="Lato" w:eastAsia="Lato" w:hAnsi="Lato"/>
                <w:b/>
                <w:bCs/>
                <w:i w:val="false"/>
                <w:iCs w:val="false"/>
                <w:color w:val="004976"/>
                <w:sz w:val="20"/>
                <w:szCs w:val="20"/>
              </w:rPr>
              <w:t xml:space="preserve">Recorded in register</w:t>
            </w:r>
          </w:p>
        </w:tc>
        <w:tc>
          <w:tcPr>
            <w:tcW w:type="dxa" w:w="65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Educator now holds: Teaching English as a Second Language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pBdr>
      <w:spacing w:before="80"/>
      <w:jc w:val="center"/>
    </w:pPr>
    <w:r>
      <w:rPr>
        <w:rFonts w:ascii="Lato" w:cs="Lato" w:eastAsia="Lato" w:hAnsi="Lato"/>
        <w:b w:val="false"/>
        <w:bCs w:val="false"/>
        <w:i w:val="false"/>
        <w:iCs w:val="false"/>
        <w:color w:val="5A6B76"/>
        <w:sz w:val="16"/>
        <w:szCs w:val="16"/>
      </w:rPr>
      <w:t xml:space="preserve">Amala Education for Change   ·   Teaching English as a Second Language   ·   Module Sign-off Guide   ·   Page </w:t>
    </w:r>
    <w:r>
      <w:rPr>
        <w:rFonts w:ascii="Lato" w:cs="Lato" w:eastAsia="Lato" w:hAnsi="Lato"/>
        <w:color w:val="5A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English as a Second Language — Module Sign-off Guide</dc:title>
  <dc:creator>Amala Education for Change</dc:creator>
  <cp:lastModifiedBy>Un-named</cp:lastModifiedBy>
  <cp:revision>1</cp:revision>
  <dcterms:created xsi:type="dcterms:W3CDTF">2026-08-04T09:44:54.636Z</dcterms:created>
  <dcterms:modified xsi:type="dcterms:W3CDTF">2026-08-04T09:44:54.636Z</dcterms:modified>
</cp:coreProperties>
</file>

<file path=docProps/custom.xml><?xml version="1.0" encoding="utf-8"?>
<Properties xmlns="http://schemas.openxmlformats.org/officeDocument/2006/custom-properties" xmlns:vt="http://schemas.openxmlformats.org/officeDocument/2006/docPropsVTypes"/>
</file>