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004976" w:color="auto" w:val="clear"/>
            <w:tcMar>
              <w:top w:type="dxa" w:w="220"/>
              <w:left w:type="dxa" w:w="220"/>
              <w:bottom w:type="dxa" w:w="200"/>
              <w:right w:type="dxa" w:w="220"/>
            </w:tcMar>
          </w:tcPr>
          <w:p>
            <w:pPr>
              <w:spacing w:after="30" w:before="0"/>
            </w:pPr>
            <w:r>
              <w:rPr>
                <w:rFonts w:ascii="Roboto" w:cs="Roboto" w:eastAsia="Roboto" w:hAnsi="Roboto"/>
                <w:b/>
                <w:bCs/>
                <w:i w:val="false"/>
                <w:iCs w:val="false"/>
                <w:color w:val="FFFFFF"/>
                <w:sz w:val="30"/>
                <w:szCs w:val="30"/>
              </w:rPr>
              <w:t xml:space="preserve">amala</w:t>
            </w:r>
          </w:p>
          <w:p>
            <w:pPr>
              <w:spacing w:after="120" w:before="0"/>
            </w:pPr>
            <w:r>
              <w:rPr>
                <w:rFonts w:ascii="Roboto" w:cs="Roboto" w:eastAsia="Roboto" w:hAnsi="Roboto"/>
                <w:b w:val="false"/>
                <w:bCs w:val="false"/>
                <w:i w:val="false"/>
                <w:iCs w:val="false"/>
                <w:color w:val="CFE0EA"/>
                <w:sz w:val="16"/>
                <w:szCs w:val="16"/>
              </w:rPr>
              <w:t xml:space="preserve">Education for change</w:t>
            </w:r>
          </w:p>
          <w:p>
            <w:pPr>
              <w:spacing w:after="40" w:before="0"/>
            </w:pPr>
            <w:r>
              <w:rPr>
                <w:rFonts w:ascii="Roboto" w:cs="Roboto" w:eastAsia="Roboto" w:hAnsi="Roboto"/>
                <w:b/>
                <w:bCs/>
                <w:i w:val="false"/>
                <w:iCs w:val="false"/>
                <w:color w:val="FFFFFF"/>
                <w:sz w:val="32"/>
                <w:szCs w:val="32"/>
              </w:rPr>
              <w:t xml:space="preserve">Teaching English as a Second Language</w:t>
            </w:r>
          </w:p>
          <w:p>
            <w:pPr>
              <w:spacing w:after="0" w:before="0"/>
            </w:pPr>
            <w:r>
              <w:rPr>
                <w:rFonts w:ascii="Roboto" w:cs="Roboto" w:eastAsia="Roboto" w:hAnsi="Roboto"/>
                <w:b w:val="false"/>
                <w:bCs w:val="false"/>
                <w:i w:val="false"/>
                <w:iCs w:val="false"/>
                <w:color w:val="CFE0EA"/>
                <w:sz w:val="18"/>
                <w:szCs w:val="18"/>
              </w:rPr>
              <w:t xml:space="preserve">Trainer Guide   ·   Supporting educators through the Language Development Planning Guide</w:t>
            </w:r>
          </w:p>
        </w:tc>
      </w:tr>
    </w:tbl>
    <w:tbl>
      <w:tblPr>
        <w:tblW w:type="dxa" w:w="9700"/>
        <w:tblBorders>
          <w:top w:val="none" w:color="FFFFFF" w:sz="0"/>
          <w:left w:val="none" w:color="FFFFFF" w:sz="0"/>
          <w:bottom w:val="single" w:color="8F993E" w:sz="12"/>
          <w:right w:val="none" w:color="FFFFFF" w:sz="0"/>
          <w:insideH w:val="none" w:color="FFFFFF" w:sz="0"/>
          <w:insideV w:val="none" w:color="FFFFFF" w:sz="0"/>
        </w:tblBorders>
      </w:tblPr>
      <w:tblGrid>
        <w:gridCol w:w="9700"/>
      </w:tblGrid>
      <w:tr>
        <w:tc>
          <w:tcPr>
            <w:tcW w:type="dxa" w:w="9700"/>
          </w:tcPr>
          <w:p>
            <w:pPr>
              <w:spacing w:after="0" w:before="0"/>
            </w:pPr>
            <w:r>
              <w:rPr>
                <w:rFonts w:ascii="Lato" w:cs="Lato" w:eastAsia="Lato" w:hAnsi="Lato"/>
                <w:b w:val="false"/>
                <w:bCs w:val="false"/>
                <w:i w:val="false"/>
                <w:iCs w:val="false"/>
                <w:color w:val="1A1A1A"/>
                <w:sz w:val="20"/>
                <w:szCs w:val="20"/>
              </w:rPr>
              <w:t xml:space="preserve"/>
            </w:r>
          </w:p>
        </w:tc>
      </w:tr>
    </w:tbl>
    <w:p>
      <w:pPr>
        <w:spacing w:after="6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single" w:color="FFFFFF" w:sz="8"/>
        </w:tblBorders>
      </w:tblPr>
      <w:tblGrid>
        <w:gridCol w:w="2425"/>
        <w:gridCol w:w="2425"/>
        <w:gridCol w:w="2425"/>
        <w:gridCol w:w="2425"/>
      </w:tblGrid>
      <w:tr>
        <w:tc>
          <w:tcPr>
            <w:tcW w:type="dxa" w:w="2425"/>
            <w:shd w:fill="004976" w:color="auto" w:val="clear"/>
            <w:tcMar>
              <w:top w:type="dxa" w:w="120"/>
              <w:left w:type="dxa" w:w="130"/>
              <w:bottom w:type="dxa" w:w="120"/>
              <w:right w:type="dxa" w:w="130"/>
            </w:tcMar>
            <w:vAlign w:val="top"/>
          </w:tcPr>
          <w:p>
            <w:pPr>
              <w:spacing w:after="40" w:before="0"/>
            </w:pPr>
            <w:r>
              <w:rPr>
                <w:rFonts w:ascii="Roboto" w:cs="Roboto" w:eastAsia="Roboto" w:hAnsi="Roboto"/>
                <w:b w:val="false"/>
                <w:bCs w:val="false"/>
                <w:i w:val="false"/>
                <w:iCs w:val="false"/>
                <w:color w:val="CFE0EA"/>
                <w:sz w:val="15"/>
                <w:szCs w:val="15"/>
              </w:rPr>
              <w:t xml:space="preserve">Total time</w:t>
            </w:r>
          </w:p>
          <w:p>
            <w:pPr>
              <w:spacing w:after="0" w:before="0"/>
            </w:pPr>
            <w:r>
              <w:rPr>
                <w:rFonts w:ascii="Roboto" w:cs="Roboto" w:eastAsia="Roboto" w:hAnsi="Roboto"/>
                <w:b/>
                <w:bCs/>
                <w:i w:val="false"/>
                <w:iCs w:val="false"/>
                <w:color w:val="FFFFFF"/>
                <w:sz w:val="18"/>
                <w:szCs w:val="18"/>
              </w:rPr>
              <w:t xml:space="preserve">~12 hours</w:t>
            </w:r>
          </w:p>
        </w:tc>
        <w:tc>
          <w:tcPr>
            <w:tcW w:type="dxa" w:w="2425"/>
            <w:shd w:fill="004976" w:color="auto" w:val="clear"/>
            <w:tcMar>
              <w:top w:type="dxa" w:w="120"/>
              <w:left w:type="dxa" w:w="130"/>
              <w:bottom w:type="dxa" w:w="120"/>
              <w:right w:type="dxa" w:w="130"/>
            </w:tcMar>
            <w:vAlign w:val="top"/>
          </w:tcPr>
          <w:p>
            <w:pPr>
              <w:spacing w:after="40" w:before="0"/>
            </w:pPr>
            <w:r>
              <w:rPr>
                <w:rFonts w:ascii="Roboto" w:cs="Roboto" w:eastAsia="Roboto" w:hAnsi="Roboto"/>
                <w:b w:val="false"/>
                <w:bCs w:val="false"/>
                <w:i w:val="false"/>
                <w:iCs w:val="false"/>
                <w:color w:val="CFE0EA"/>
                <w:sz w:val="15"/>
                <w:szCs w:val="15"/>
              </w:rPr>
              <w:t xml:space="preserve">Synchronous</w:t>
            </w:r>
          </w:p>
          <w:p>
            <w:pPr>
              <w:spacing w:after="0" w:before="0"/>
            </w:pPr>
            <w:r>
              <w:rPr>
                <w:rFonts w:ascii="Roboto" w:cs="Roboto" w:eastAsia="Roboto" w:hAnsi="Roboto"/>
                <w:b/>
                <w:bCs/>
                <w:i w:val="false"/>
                <w:iCs w:val="false"/>
                <w:color w:val="FFFFFF"/>
                <w:sz w:val="18"/>
                <w:szCs w:val="18"/>
              </w:rPr>
              <w:t xml:space="preserve">3 sessions of 2 hrs   ·   ~6 hours</w:t>
            </w:r>
          </w:p>
        </w:tc>
        <w:tc>
          <w:tcPr>
            <w:tcW w:type="dxa" w:w="2425"/>
            <w:shd w:fill="004976" w:color="auto" w:val="clear"/>
            <w:tcMar>
              <w:top w:type="dxa" w:w="120"/>
              <w:left w:type="dxa" w:w="130"/>
              <w:bottom w:type="dxa" w:w="120"/>
              <w:right w:type="dxa" w:w="130"/>
            </w:tcMar>
            <w:vAlign w:val="top"/>
          </w:tcPr>
          <w:p>
            <w:pPr>
              <w:spacing w:after="40" w:before="0"/>
            </w:pPr>
            <w:r>
              <w:rPr>
                <w:rFonts w:ascii="Roboto" w:cs="Roboto" w:eastAsia="Roboto" w:hAnsi="Roboto"/>
                <w:b w:val="false"/>
                <w:bCs w:val="false"/>
                <w:i w:val="false"/>
                <w:iCs w:val="false"/>
                <w:color w:val="CFE0EA"/>
                <w:sz w:val="15"/>
                <w:szCs w:val="15"/>
              </w:rPr>
              <w:t xml:space="preserve">Independent</w:t>
            </w:r>
          </w:p>
          <w:p>
            <w:pPr>
              <w:spacing w:after="0" w:before="0"/>
            </w:pPr>
            <w:r>
              <w:rPr>
                <w:rFonts w:ascii="Roboto" w:cs="Roboto" w:eastAsia="Roboto" w:hAnsi="Roboto"/>
                <w:b/>
                <w:bCs/>
                <w:i w:val="false"/>
                <w:iCs w:val="false"/>
                <w:color w:val="FFFFFF"/>
                <w:sz w:val="18"/>
                <w:szCs w:val="18"/>
              </w:rPr>
              <w:t xml:space="preserve">3 phases   ·   ~6 hours</w:t>
            </w:r>
          </w:p>
        </w:tc>
        <w:tc>
          <w:tcPr>
            <w:tcW w:type="dxa" w:w="2425"/>
            <w:shd w:fill="004976" w:color="auto" w:val="clear"/>
            <w:tcMar>
              <w:top w:type="dxa" w:w="120"/>
              <w:left w:type="dxa" w:w="130"/>
              <w:bottom w:type="dxa" w:w="120"/>
              <w:right w:type="dxa" w:w="130"/>
            </w:tcMar>
            <w:vAlign w:val="top"/>
          </w:tcPr>
          <w:p>
            <w:pPr>
              <w:spacing w:after="40" w:before="0"/>
            </w:pPr>
            <w:r>
              <w:rPr>
                <w:rFonts w:ascii="Roboto" w:cs="Roboto" w:eastAsia="Roboto" w:hAnsi="Roboto"/>
                <w:b w:val="false"/>
                <w:bCs w:val="false"/>
                <w:i w:val="false"/>
                <w:iCs w:val="false"/>
                <w:color w:val="CFE0EA"/>
                <w:sz w:val="15"/>
                <w:szCs w:val="15"/>
              </w:rPr>
              <w:t xml:space="preserve">Outcome</w:t>
            </w:r>
          </w:p>
          <w:p>
            <w:pPr>
              <w:spacing w:after="0" w:before="0"/>
            </w:pPr>
            <w:r>
              <w:rPr>
                <w:rFonts w:ascii="Roboto" w:cs="Roboto" w:eastAsia="Roboto" w:hAnsi="Roboto"/>
                <w:b/>
                <w:bCs/>
                <w:i w:val="false"/>
                <w:iCs w:val="false"/>
                <w:color w:val="FFFFFF"/>
                <w:sz w:val="18"/>
                <w:szCs w:val="18"/>
              </w:rPr>
              <w:t xml:space="preserve">A short scheme, signed off</w:t>
            </w:r>
          </w:p>
        </w:tc>
      </w:tr>
    </w:tbl>
    <w:p>
      <w:pPr>
        <w:spacing w:after="14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How to use this guide   </w:t>
            </w:r>
            <w:r>
              <w:rPr>
                <w:rFonts w:ascii="Lato" w:cs="Lato" w:eastAsia="Lato" w:hAnsi="Lato"/>
                <w:b w:val="false"/>
                <w:bCs w:val="false"/>
                <w:i w:val="false"/>
                <w:iCs w:val="false"/>
                <w:color w:val="1A1A1A"/>
                <w:sz w:val="20"/>
                <w:szCs w:val="20"/>
              </w:rPr>
              <w:t xml:space="preserve">This guide walks you through facilitating all three synchronous sessions. For each session you will find the purpose and intended outcomes, a suggested agenda with timings, facilitation notes and prompts, and guidance on the peer feedback protocol. Read the full guide before Session 1. Participants work in their Language Development Planning Guide throughout, with the Language Development Workbook as their reference; this is a companion guide for you. Adapt timings and prompts to your group.</w:t>
            </w:r>
          </w:p>
          <w:p>
            <w:pPr>
              <w:spacing w:after="0" w:before="80"/>
            </w:pPr>
            <w:r>
              <w:rPr>
                <w:rFonts w:ascii="Lato" w:cs="Lato" w:eastAsia="Lato" w:hAnsi="Lato"/>
                <w:b/>
                <w:bCs/>
                <w:i w:val="false"/>
                <w:iCs w:val="false"/>
                <w:color w:val="004976"/>
                <w:sz w:val="20"/>
                <w:szCs w:val="20"/>
              </w:rPr>
              <w:t xml:space="preserve">Training objective:   </w:t>
            </w:r>
            <w:r>
              <w:rPr>
                <w:rFonts w:ascii="Lato" w:cs="Lato" w:eastAsia="Lato" w:hAnsi="Lato"/>
                <w:b w:val="false"/>
                <w:bCs w:val="false"/>
                <w:i w:val="false"/>
                <w:iCs w:val="false"/>
                <w:color w:val="1A1A1A"/>
                <w:sz w:val="20"/>
                <w:szCs w:val="20"/>
              </w:rPr>
              <w:t xml:space="preserve">by the end, every participant will have produced a short scheme that develops their learners' English at and around CEFR A1, drawn from the learning they are already doing.</w:t>
            </w:r>
          </w:p>
          <w:p>
            <w:pPr>
              <w:spacing w:after="0" w:before="80"/>
            </w:pPr>
            <w:r>
              <w:rPr>
                <w:rFonts w:ascii="Lato" w:cs="Lato" w:eastAsia="Lato" w:hAnsi="Lato"/>
                <w:b/>
                <w:bCs/>
                <w:i w:val="false"/>
                <w:iCs w:val="false"/>
                <w:color w:val="004976"/>
                <w:sz w:val="20"/>
                <w:szCs w:val="20"/>
              </w:rPr>
              <w:t xml:space="preserve">Hours flexibility:   </w:t>
            </w:r>
            <w:r>
              <w:rPr>
                <w:rFonts w:ascii="Lato" w:cs="Lato" w:eastAsia="Lato" w:hAnsi="Lato"/>
                <w:b w:val="false"/>
                <w:bCs w:val="false"/>
                <w:i w:val="false"/>
                <w:iCs w:val="false"/>
                <w:color w:val="1A1A1A"/>
                <w:sz w:val="20"/>
                <w:szCs w:val="20"/>
              </w:rPr>
              <w:t xml:space="preserve">the 12-hour total (6 synchronous / 6 independent) is a recommended minimum. Any changes to the overall hours or the synchronous/independent balance must be agreed in advance with Amala Education.</w:t>
            </w:r>
          </w:p>
        </w:tc>
      </w:tr>
    </w:tbl>
    <w:p>
      <w:pPr>
        <w:spacing w:after="90" w:before="0"/>
      </w:pPr>
      <w:r>
        <w:rPr>
          <w:rFonts w:ascii="Lato" w:cs="Lato" w:eastAsia="Lato" w:hAnsi="Lato"/>
          <w:b w:val="false"/>
          <w:bCs w:val="false"/>
          <w:i w:val="false"/>
          <w:iCs w:val="false"/>
          <w:color w:val="1A1A1A"/>
          <w:sz w:val="20"/>
          <w:szCs w:val="20"/>
        </w:rPr>
        <w:t xml:space="preserve"/>
      </w:r>
    </w:p>
    <w:p>
      <w:pPr>
        <w:spacing w:after="160" w:before="0"/>
      </w:pPr>
      <w:r>
        <w:rPr>
          <w:rFonts w:ascii="Lato" w:cs="Lato" w:eastAsia="Lato" w:hAnsi="Lato"/>
          <w:b/>
          <w:bCs/>
          <w:i w:val="false"/>
          <w:iCs w:val="false"/>
          <w:color w:val="004976"/>
          <w:sz w:val="20"/>
          <w:szCs w:val="20"/>
        </w:rPr>
        <w:t xml:space="preserve">Trainer name: </w:t>
      </w:r>
      <w:r>
        <w:rPr>
          <w:rFonts w:ascii="Lato" w:cs="Lato" w:eastAsia="Lato" w:hAnsi="Lato"/>
          <w:b w:val="false"/>
          <w:bCs w:val="false"/>
          <w:i w:val="false"/>
          <w:iCs w:val="false"/>
          <w:color w:val="1A1A1A"/>
          <w:sz w:val="20"/>
          <w:szCs w:val="20"/>
        </w:rPr>
        <w:t xml:space="preserve">__________________       </w:t>
      </w:r>
      <w:r>
        <w:rPr>
          <w:rFonts w:ascii="Lato" w:cs="Lato" w:eastAsia="Lato" w:hAnsi="Lato"/>
          <w:b/>
          <w:bCs/>
          <w:i w:val="false"/>
          <w:iCs w:val="false"/>
          <w:color w:val="004976"/>
          <w:sz w:val="20"/>
          <w:szCs w:val="20"/>
        </w:rPr>
        <w:t xml:space="preserve">Organisation: </w:t>
      </w:r>
      <w:r>
        <w:rPr>
          <w:rFonts w:ascii="Lato" w:cs="Lato" w:eastAsia="Lato" w:hAnsi="Lato"/>
          <w:b w:val="false"/>
          <w:bCs w:val="false"/>
          <w:i w:val="false"/>
          <w:iCs w:val="false"/>
          <w:color w:val="1A1A1A"/>
          <w:sz w:val="20"/>
          <w:szCs w:val="20"/>
        </w:rPr>
        <w:t xml:space="preserve">__________________       </w:t>
      </w:r>
      <w:r>
        <w:rPr>
          <w:rFonts w:ascii="Lato" w:cs="Lato" w:eastAsia="Lato" w:hAnsi="Lato"/>
          <w:b/>
          <w:bCs/>
          <w:i w:val="false"/>
          <w:iCs w:val="false"/>
          <w:color w:val="004976"/>
          <w:sz w:val="20"/>
          <w:szCs w:val="20"/>
        </w:rPr>
        <w:t xml:space="preserve">Cohort / date: </w:t>
      </w:r>
      <w:r>
        <w:rPr>
          <w:rFonts w:ascii="Lato" w:cs="Lato" w:eastAsia="Lato" w:hAnsi="Lato"/>
          <w:b w:val="false"/>
          <w:bCs w:val="false"/>
          <w:i w:val="false"/>
          <w:iCs w:val="false"/>
          <w:color w:val="1A1A1A"/>
          <w:sz w:val="20"/>
          <w:szCs w:val="20"/>
        </w:rPr>
        <w:t xml:space="preserve">__________________</w:t>
      </w:r>
    </w:p>
    <w:tbl>
      <w:tblPr>
        <w:tblW w:type="dxa" w:w="9700"/>
        <w:tblBorders>
          <w:top w:val="none" w:color="FFFFFF" w:sz="0"/>
          <w:left w:val="single" w:color="8F993E" w:sz="22"/>
          <w:bottom w:val="none" w:color="FFFFFF" w:sz="0"/>
          <w:right w:val="none" w:color="FFFFFF" w:sz="0"/>
          <w:insideH w:val="none" w:color="FFFFFF" w:sz="0"/>
          <w:insideV w:val="none" w:color="FFFFFF" w:sz="0"/>
        </w:tblBorders>
      </w:tblPr>
      <w:tblGrid>
        <w:gridCol w:w="9700"/>
      </w:tblGrid>
      <w:tr>
        <w:tc>
          <w:tcPr>
            <w:tcW w:type="dxa" w:w="9700"/>
            <w:shd w:fill="F1F3E3" w:color="auto" w:val="clear"/>
            <w:tcMar>
              <w:top w:type="dxa" w:w="130"/>
              <w:left w:type="dxa" w:w="180"/>
              <w:bottom w:type="dxa" w:w="130"/>
              <w:right w:type="dxa" w:w="170"/>
            </w:tcMar>
          </w:tcPr>
          <w:p>
            <w:pPr>
              <w:spacing w:after="0" w:before="0"/>
            </w:pPr>
            <w:r>
              <w:rPr>
                <w:rFonts w:ascii="Lato" w:cs="Lato" w:eastAsia="Lato" w:hAnsi="Lato"/>
                <w:b/>
                <w:bCs/>
                <w:i w:val="false"/>
                <w:iCs w:val="false"/>
                <w:color w:val="004976"/>
                <w:sz w:val="20"/>
                <w:szCs w:val="20"/>
              </w:rPr>
              <w:t xml:space="preserve">What participants complete and submit.   </w:t>
            </w:r>
            <w:r>
              <w:rPr>
                <w:rFonts w:ascii="Lato" w:cs="Lato" w:eastAsia="Lato" w:hAnsi="Lato"/>
                <w:b w:val="false"/>
                <w:bCs w:val="false"/>
                <w:i w:val="false"/>
                <w:iCs w:val="false"/>
                <w:color w:val="1A1A1A"/>
                <w:sz w:val="20"/>
                <w:szCs w:val="20"/>
              </w:rPr>
              <w:t xml:space="preserve">During the module each participant completes one short scheme in Section 4 of the Planning Guide: three to six steps for a single piece of learning, showing the English developing inside it. That short scheme, together with Sections 1, 2 and 5, is what they submit for sign-off. Afterwards, the planner is theirs to extend, step by step, across their whole course.</w:t>
            </w:r>
          </w:p>
        </w:tc>
      </w:tr>
    </w:tbl>
    <w:p>
      <w:pPr>
        <w:spacing w:after="150" w:before="0"/>
      </w:pPr>
      <w:r>
        <w:rPr>
          <w:rFonts w:ascii="Lato" w:cs="Lato" w:eastAsia="Lato" w:hAnsi="Lato"/>
          <w:b w:val="false"/>
          <w:bCs w:val="false"/>
          <w:i w:val="false"/>
          <w:iCs w:val="false"/>
          <w:color w:val="1A1A1A"/>
          <w:sz w:val="20"/>
          <w:szCs w:val="20"/>
        </w:rPr>
        <w:t xml:space="preserve"/>
      </w:r>
    </w:p>
    <w:p>
      <w:pPr>
        <w:spacing w:after="60" w:before="150"/>
      </w:pPr>
      <w:r>
        <w:rPr>
          <w:rFonts w:ascii="Roboto" w:cs="Roboto" w:eastAsia="Roboto" w:hAnsi="Roboto"/>
          <w:b/>
          <w:bCs/>
          <w:i w:val="false"/>
          <w:iCs w:val="false"/>
          <w:color w:val="004976"/>
          <w:sz w:val="20"/>
          <w:szCs w:val="20"/>
        </w:rPr>
        <w:t xml:space="preserve">Training overview</w:t>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1700"/>
        <w:gridCol w:w="1750"/>
        <w:gridCol w:w="750"/>
        <w:gridCol w:w="5500"/>
      </w:tblGrid>
      <w:tr>
        <w:trPr>
          <w:tblHeader/>
        </w:trPr>
        <w:tc>
          <w:tcPr>
            <w:tcW w:type="dxa" w:w="17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Phase</w:t>
            </w:r>
          </w:p>
        </w:tc>
        <w:tc>
          <w:tcPr>
            <w:tcW w:type="dxa" w:w="175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Mode</w:t>
            </w:r>
          </w:p>
        </w:tc>
        <w:tc>
          <w:tcPr>
            <w:tcW w:type="dxa" w:w="75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Time</w:t>
            </w:r>
          </w:p>
        </w:tc>
        <w:tc>
          <w:tcPr>
            <w:tcW w:type="dxa" w:w="55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What happens  /  Planner sections</w:t>
            </w:r>
          </w:p>
        </w:tc>
      </w:tr>
      <w:tr>
        <w:trPr>
          <w:cantSplit/>
        </w:trPr>
        <w:tc>
          <w:tcPr>
            <w:tcW w:type="dxa" w:w="17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Pre-work</w:t>
            </w:r>
          </w:p>
        </w:tc>
        <w:tc>
          <w:tcPr>
            <w:tcW w:type="dxa" w:w="1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Independent</w:t>
            </w:r>
          </w:p>
        </w:tc>
        <w:tc>
          <w:tcPr>
            <w:tcW w:type="dxa" w:w="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1 hr</w:t>
            </w:r>
          </w:p>
        </w:tc>
        <w:tc>
          <w:tcPr>
            <w:tcW w:type="dxa" w:w="55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Read Workbook Sections 1 to 3. Complete Section 1 of the Planning Guide (learners and their English, with the A1 baseline).</w:t>
            </w:r>
          </w:p>
        </w:tc>
      </w:tr>
      <w:tr>
        <w:trPr>
          <w:cantSplit/>
        </w:trPr>
        <w:tc>
          <w:tcPr>
            <w:tcW w:type="dxa" w:w="17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Session 1</w:t>
            </w:r>
          </w:p>
        </w:tc>
        <w:tc>
          <w:tcPr>
            <w:tcW w:type="dxa" w:w="1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Synchronous</w:t>
            </w:r>
          </w:p>
        </w:tc>
        <w:tc>
          <w:tcPr>
            <w:tcW w:type="dxa" w:w="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2 hrs</w:t>
            </w:r>
          </w:p>
        </w:tc>
        <w:tc>
          <w:tcPr>
            <w:tcW w:type="dxa" w:w="55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Orientation and the lens. Share learner profiles. Work through Section 2 (language development aims).</w:t>
            </w:r>
          </w:p>
        </w:tc>
      </w:tr>
      <w:tr>
        <w:trPr>
          <w:cantSplit/>
        </w:trPr>
        <w:tc>
          <w:tcPr>
            <w:tcW w:type="dxa" w:w="17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Independent 1</w:t>
            </w:r>
          </w:p>
        </w:tc>
        <w:tc>
          <w:tcPr>
            <w:tcW w:type="dxa" w:w="1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Independent</w:t>
            </w:r>
          </w:p>
        </w:tc>
        <w:tc>
          <w:tcPr>
            <w:tcW w:type="dxa" w:w="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2 hrs</w:t>
            </w:r>
          </w:p>
        </w:tc>
        <w:tc>
          <w:tcPr>
            <w:tcW w:type="dxa" w:w="55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Complete Section 3 (approaches). Begin Section 4 (draft the scheme).</w:t>
            </w:r>
          </w:p>
        </w:tc>
      </w:tr>
      <w:tr>
        <w:trPr>
          <w:cantSplit/>
        </w:trPr>
        <w:tc>
          <w:tcPr>
            <w:tcW w:type="dxa" w:w="17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Session 2</w:t>
            </w:r>
          </w:p>
        </w:tc>
        <w:tc>
          <w:tcPr>
            <w:tcW w:type="dxa" w:w="1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Synchronous</w:t>
            </w:r>
          </w:p>
        </w:tc>
        <w:tc>
          <w:tcPr>
            <w:tcW w:type="dxa" w:w="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2 hrs</w:t>
            </w:r>
          </w:p>
        </w:tc>
        <w:tc>
          <w:tcPr>
            <w:tcW w:type="dxa" w:w="55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Share approaches. Structured peer feedback on the draft scheme. Time to revise.</w:t>
            </w:r>
          </w:p>
        </w:tc>
      </w:tr>
      <w:tr>
        <w:trPr>
          <w:cantSplit/>
        </w:trPr>
        <w:tc>
          <w:tcPr>
            <w:tcW w:type="dxa" w:w="17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Independent 2</w:t>
            </w:r>
          </w:p>
        </w:tc>
        <w:tc>
          <w:tcPr>
            <w:tcW w:type="dxa" w:w="1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Independent</w:t>
            </w:r>
          </w:p>
        </w:tc>
        <w:tc>
          <w:tcPr>
            <w:tcW w:type="dxa" w:w="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3 hrs</w:t>
            </w:r>
          </w:p>
        </w:tc>
        <w:tc>
          <w:tcPr>
            <w:tcW w:type="dxa" w:w="55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Finish Section 4 and complete Section 5 (knowing it's working).</w:t>
            </w:r>
          </w:p>
        </w:tc>
      </w:tr>
      <w:tr>
        <w:trPr>
          <w:cantSplit/>
        </w:trPr>
        <w:tc>
          <w:tcPr>
            <w:tcW w:type="dxa" w:w="17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Session 3</w:t>
            </w:r>
          </w:p>
        </w:tc>
        <w:tc>
          <w:tcPr>
            <w:tcW w:type="dxa" w:w="1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Synchronous</w:t>
            </w:r>
          </w:p>
        </w:tc>
        <w:tc>
          <w:tcPr>
            <w:tcW w:type="dxa" w:w="75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2 hrs</w:t>
            </w:r>
          </w:p>
        </w:tc>
        <w:tc>
          <w:tcPr>
            <w:tcW w:type="dxa" w:w="55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Peer feedback on the full scheme. Section 6 checklist. Set next steps for extending the planner. Close, then submit for sign-off.</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Roboto" w:cs="Roboto" w:eastAsia="Roboto" w:hAnsi="Roboto"/>
                <w:b/>
                <w:bCs/>
                <w:i w:val="false"/>
                <w:iCs w:val="false"/>
                <w:color w:val="8F993E"/>
                <w:sz w:val="18"/>
                <w:szCs w:val="18"/>
              </w:rPr>
              <w:t xml:space="preserve">Trainer note — adaptability.   </w:t>
            </w:r>
            <w:r>
              <w:rPr>
                <w:rFonts w:ascii="Lato" w:cs="Lato" w:eastAsia="Lato" w:hAnsi="Lato"/>
                <w:b w:val="false"/>
                <w:bCs w:val="false"/>
                <w:i w:val="false"/>
                <w:iCs w:val="false"/>
                <w:color w:val="1A1A1A"/>
                <w:sz w:val="20"/>
                <w:szCs w:val="20"/>
              </w:rPr>
              <w:t xml:space="preserve">The timings in each session are suggestions; adjust for your group size and how familiar participants are with A1 and with language objectives. Keep the synchronous/independent balance unless a change is agreed with Amala Education.</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The Planning Guide, the Workbook, and this guide.   </w:t>
            </w:r>
            <w:r>
              <w:rPr>
                <w:rFonts w:ascii="Lato" w:cs="Lato" w:eastAsia="Lato" w:hAnsi="Lato"/>
                <w:b w:val="false"/>
                <w:bCs w:val="false"/>
                <w:i w:val="false"/>
                <w:iCs w:val="false"/>
                <w:color w:val="1A1A1A"/>
                <w:sz w:val="20"/>
                <w:szCs w:val="20"/>
              </w:rPr>
              <w:t xml:space="preserve">Participants plan in the Planning Guide. The Workbook is their reference for the craft: point them to the Workbook section that matches each stage (Sections 1 to 3 for pre-work, Section 4 for the approaches, Section 5 for building a scheme). This Trainer Guide is your companion; participants do not need it.</w:t>
            </w:r>
          </w:p>
          <w:p>
            <w:pPr>
              <w:spacing w:after="0" w:before="80"/>
            </w:pPr>
            <w:r>
              <w:rPr>
                <w:rFonts w:ascii="Lato" w:cs="Lato" w:eastAsia="Lato" w:hAnsi="Lato"/>
                <w:b/>
                <w:bCs/>
                <w:i w:val="false"/>
                <w:iCs w:val="false"/>
                <w:color w:val="004976"/>
                <w:sz w:val="20"/>
                <w:szCs w:val="20"/>
              </w:rPr>
              <w:t xml:space="preserve">Technology.   </w:t>
            </w:r>
            <w:r>
              <w:rPr>
                <w:rFonts w:ascii="Lato" w:cs="Lato" w:eastAsia="Lato" w:hAnsi="Lato"/>
                <w:b w:val="false"/>
                <w:bCs w:val="false"/>
                <w:i w:val="false"/>
                <w:iCs w:val="false"/>
                <w:color w:val="1A1A1A"/>
                <w:sz w:val="20"/>
                <w:szCs w:val="20"/>
              </w:rPr>
              <w:t xml:space="preserve">The default tools are Google Classroom (materials and scheme submission), Google Chat (peer communication between sessions), and Google Meet or Zoom (the three sessions). The Training Coordinator sets these up and confirms participant access before Session 1. If Classroom or video fails, participants can follow the Participant Guide directly. Alternative tools need Amala Education's prior approval.</w:t>
            </w:r>
          </w:p>
        </w:tc>
      </w:tr>
    </w:tbl>
    <w:p>
      <w:pPr>
        <w:spacing w:after="9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Before Session 1 — your checklist.   </w:t>
            </w:r>
            <w:r>
              <w:rPr>
                <w:rFonts w:ascii="Lato" w:cs="Lato" w:eastAsia="Lato" w:hAnsi="Lato"/>
                <w:b w:val="false"/>
                <w:bCs w:val="false"/>
                <w:i w:val="false"/>
                <w:iCs w:val="false"/>
                <w:color w:val="1A1A1A"/>
                <w:sz w:val="20"/>
                <w:szCs w:val="20"/>
              </w:rPr>
              <w:t xml:space="preserve">Confirm with the Coordinator that participants have received materials and have Classroom and Chat access. Read the Workbook and the Planning Guide in full. Check that participants have completed the pre-work (Section 1 and Workbook reading); if some have not, build in 15 minutes at the start of Session 1. Post the Session 1 meeting link in Classroom and Chat the day before.</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Session 1</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Synchronous   ·   2 hours</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Purpose.   </w:t>
            </w:r>
            <w:r>
              <w:rPr>
                <w:rFonts w:ascii="Lato" w:cs="Lato" w:eastAsia="Lato" w:hAnsi="Lato"/>
                <w:b w:val="false"/>
                <w:bCs w:val="false"/>
                <w:i w:val="false"/>
                <w:iCs w:val="false"/>
                <w:color w:val="1A1A1A"/>
                <w:sz w:val="20"/>
                <w:szCs w:val="20"/>
              </w:rPr>
              <w:t xml:space="preserve">Participants understand the module, the Planning Guide and the Workbook; grasp the lens (what A1 looks like, content versus language objectives, building English into the learning); share their learners' English; and work through Section 2 to draft one or two language aims. They leave with a clear brief for Independent Work 1.</w:t>
            </w:r>
          </w:p>
        </w:tc>
      </w:tr>
    </w:tbl>
    <w:p>
      <w:pPr>
        <w:spacing w:after="60" w:before="150"/>
      </w:pPr>
      <w:r>
        <w:rPr>
          <w:rFonts w:ascii="Roboto" w:cs="Roboto" w:eastAsia="Roboto" w:hAnsi="Roboto"/>
          <w:b/>
          <w:bCs/>
          <w:i w:val="false"/>
          <w:iCs w:val="false"/>
          <w:color w:val="004976"/>
          <w:sz w:val="20"/>
          <w:szCs w:val="20"/>
        </w:rPr>
        <w:t xml:space="preserve">Suggested agenda</w:t>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1500"/>
        <w:gridCol w:w="8200"/>
      </w:tblGrid>
      <w:tr>
        <w:trPr>
          <w:tblHeader/>
        </w:trPr>
        <w:tc>
          <w:tcPr>
            <w:tcW w:type="dxa" w:w="15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Time</w:t>
            </w:r>
          </w:p>
        </w:tc>
        <w:tc>
          <w:tcPr>
            <w:tcW w:type="dxa" w:w="82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Activity</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0:00–0:15</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Welcome and orientation: the module arc, the Planning Guide, the Workbook, and the technology.</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0:15–0:35</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The lens. Draw on Workbook Sections 2 and 3: what A1 looks like, the difference between a content objective and a language objective, and building English into the learning. Keep it short and worked.</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0:35–0:55</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Sharing learners' English. Each participant shares two or three things from Section 1. Pairs or whole group.</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0:55–1:05</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Break.</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1:05–1:45</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Working through Section 2 (language development aims). Model one aim at the front first, then pairs draft their own.</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1:45–1:55</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Whole-group share-back: what aims are emerging? Where is it hard?</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1:55–2:00</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Brief for Independent Work 1. Confirm where to submit. Questions and close.</w:t>
            </w:r>
          </w:p>
        </w:tc>
      </w:tr>
    </w:tbl>
    <w:p>
      <w:pPr>
        <w:spacing w:after="60" w:before="150"/>
      </w:pPr>
      <w:r>
        <w:rPr>
          <w:rFonts w:ascii="Roboto" w:cs="Roboto" w:eastAsia="Roboto" w:hAnsi="Roboto"/>
          <w:b/>
          <w:bCs/>
          <w:i w:val="false"/>
          <w:iCs w:val="false"/>
          <w:color w:val="004976"/>
          <w:sz w:val="20"/>
          <w:szCs w:val="20"/>
        </w:rPr>
        <w:t xml:space="preserve">Facilitation notes</w:t>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Roboto" w:cs="Roboto" w:eastAsia="Roboto" w:hAnsi="Roboto"/>
                <w:b/>
                <w:bCs/>
                <w:i w:val="false"/>
                <w:iCs w:val="false"/>
                <w:color w:val="8F993E"/>
                <w:sz w:val="18"/>
                <w:szCs w:val="18"/>
              </w:rPr>
              <w:t xml:space="preserve">Trainer note — keep the lens short.   </w:t>
            </w:r>
            <w:r>
              <w:rPr>
                <w:rFonts w:ascii="Lato" w:cs="Lato" w:eastAsia="Lato" w:hAnsi="Lato"/>
                <w:b w:val="false"/>
                <w:bCs w:val="false"/>
                <w:i w:val="false"/>
                <w:iCs w:val="false"/>
                <w:color w:val="1A1A1A"/>
                <w:sz w:val="20"/>
                <w:szCs w:val="20"/>
              </w:rPr>
              <w:t xml:space="preserve">The strongest temptation in this module is to over-teach language theory. The Workbook carries the detail. Your job in the first 20 minutes is to make one idea land: develop the English learners need, inside the learning they are already doing. Do not turn Session 1 into an English lesson.</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Roboto" w:cs="Roboto" w:eastAsia="Roboto" w:hAnsi="Roboto"/>
                <w:b/>
                <w:bCs/>
                <w:i w:val="false"/>
                <w:iCs w:val="false"/>
                <w:color w:val="8F993E"/>
                <w:sz w:val="18"/>
                <w:szCs w:val="18"/>
              </w:rPr>
              <w:t xml:space="preserve">Trainer note — model a language objective live.   </w:t>
            </w:r>
            <w:r>
              <w:rPr>
                <w:rFonts w:ascii="Lato" w:cs="Lato" w:eastAsia="Lato" w:hAnsi="Lato"/>
                <w:b w:val="false"/>
                <w:bCs w:val="false"/>
                <w:i w:val="false"/>
                <w:iCs w:val="false"/>
                <w:color w:val="1A1A1A"/>
                <w:sz w:val="20"/>
                <w:szCs w:val="20"/>
              </w:rPr>
              <w:t xml:space="preserve">Participants find the language objective the hardest new idea. Take a real piece of learning, name the English it needs, and write one aim in front of the group before pairs try their own. A live model beats explanation.</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Suggested prompts.   </w:t>
            </w:r>
            <w:r>
              <w:rPr>
                <w:rFonts w:ascii="Lato" w:cs="Lato" w:eastAsia="Lato" w:hAnsi="Lato"/>
                <w:b w:val="false"/>
                <w:bCs w:val="false"/>
                <w:i w:val="false"/>
                <w:iCs w:val="false"/>
                <w:color w:val="1A1A1A"/>
                <w:sz w:val="20"/>
                <w:szCs w:val="20"/>
              </w:rPr>
              <w:t xml:space="preserve">What English does this task actually need before a learner can take part? Is that an aim about the topic, or about the English? Rewrite it as something learners will be able to say, read, write or understand at A1.</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Independent Work 1 — brief</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Independent   ·   ~2 hours</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Before Session 2, participants complete Section 3 (note ideas for each of the six approaches, using Workbook Section 4) and begin Section 4, drafting three to six steps of their scheme using the six-step move in Workbook Section 5. Post a prompt in Chat mid-week inviting them to share one step they are unsure about.</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Session 2</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Synchronous   ·   2 hours</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Purpose.   </w:t>
            </w:r>
            <w:r>
              <w:rPr>
                <w:rFonts w:ascii="Lato" w:cs="Lato" w:eastAsia="Lato" w:hAnsi="Lato"/>
                <w:b w:val="false"/>
                <w:bCs w:val="false"/>
                <w:i w:val="false"/>
                <w:iCs w:val="false"/>
                <w:color w:val="1A1A1A"/>
                <w:sz w:val="20"/>
                <w:szCs w:val="20"/>
              </w:rPr>
              <w:t xml:space="preserve">Participants share the approaches they found useful, receive structured peer feedback on their draft scheme, and revise it. They leave with a clear brief for finishing the scheme and completing Section 5.</w:t>
            </w:r>
          </w:p>
        </w:tc>
      </w:tr>
    </w:tbl>
    <w:p>
      <w:pPr>
        <w:spacing w:after="60" w:before="150"/>
      </w:pPr>
      <w:r>
        <w:rPr>
          <w:rFonts w:ascii="Roboto" w:cs="Roboto" w:eastAsia="Roboto" w:hAnsi="Roboto"/>
          <w:b/>
          <w:bCs/>
          <w:i w:val="false"/>
          <w:iCs w:val="false"/>
          <w:color w:val="004976"/>
          <w:sz w:val="20"/>
          <w:szCs w:val="20"/>
        </w:rPr>
        <w:t xml:space="preserve">Suggested agenda</w:t>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1500"/>
        <w:gridCol w:w="8200"/>
      </w:tblGrid>
      <w:tr>
        <w:trPr>
          <w:tblHeader/>
        </w:trPr>
        <w:tc>
          <w:tcPr>
            <w:tcW w:type="dxa" w:w="15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Time</w:t>
            </w:r>
          </w:p>
        </w:tc>
        <w:tc>
          <w:tcPr>
            <w:tcW w:type="dxa" w:w="82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Activity</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0:00–0:10</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Check-in: how did drafting go? Common sticking points?</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0:10–0:35</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Share-out from Section 3. Each participant names the most useful approach and one idea it generated.</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0:35–1:20</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Peer feedback protocol on draft schemes (see below).</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1:20–1:40</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Revision time: participants update their schemes based on feedback.</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1:40–2:00</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Brief for Independent Work 2 (finish Section 4, complete Section 5). Common gaps. Questions and close.</w:t>
            </w:r>
          </w:p>
        </w:tc>
      </w:tr>
    </w:tbl>
    <w:p>
      <w:pPr>
        <w:spacing w:after="60" w:before="150"/>
      </w:pPr>
      <w:r>
        <w:rPr>
          <w:rFonts w:ascii="Roboto" w:cs="Roboto" w:eastAsia="Roboto" w:hAnsi="Roboto"/>
          <w:b/>
          <w:bCs/>
          <w:i w:val="false"/>
          <w:iCs w:val="false"/>
          <w:color w:val="004976"/>
          <w:sz w:val="20"/>
          <w:szCs w:val="20"/>
        </w:rPr>
        <w:t xml:space="preserve">Facilitation notes</w:t>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Roboto" w:cs="Roboto" w:eastAsia="Roboto" w:hAnsi="Roboto"/>
                <w:b/>
                <w:bCs/>
                <w:i w:val="false"/>
                <w:iCs w:val="false"/>
                <w:color w:val="8F993E"/>
                <w:sz w:val="18"/>
                <w:szCs w:val="18"/>
              </w:rPr>
              <w:t xml:space="preserve">Trainer note — watch for two drifts.   </w:t>
            </w:r>
            <w:r>
              <w:rPr>
                <w:rFonts w:ascii="Lato" w:cs="Lato" w:eastAsia="Lato" w:hAnsi="Lato"/>
                <w:b w:val="false"/>
                <w:bCs w:val="false"/>
                <w:i w:val="false"/>
                <w:iCs w:val="false"/>
                <w:color w:val="1A1A1A"/>
                <w:sz w:val="20"/>
                <w:szCs w:val="20"/>
              </w:rPr>
              <w:t xml:space="preserve">As you read draft schemes, watch for the two common failures: a scheme that has grown into a full lesson-by-lesson plan, and a scheme of isolated language drills disconnected from the learning. Redirect both back to three to six steps with the English drawn from the task.</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Roboto" w:cs="Roboto" w:eastAsia="Roboto" w:hAnsi="Roboto"/>
                <w:b/>
                <w:bCs/>
                <w:i w:val="false"/>
                <w:iCs w:val="false"/>
                <w:color w:val="8F993E"/>
                <w:sz w:val="18"/>
                <w:szCs w:val="18"/>
              </w:rPr>
              <w:t xml:space="preserve">Trainer note — aims in disguise.   </w:t>
            </w:r>
            <w:r>
              <w:rPr>
                <w:rFonts w:ascii="Lato" w:cs="Lato" w:eastAsia="Lato" w:hAnsi="Lato"/>
                <w:b w:val="false"/>
                <w:bCs w:val="false"/>
                <w:i w:val="false"/>
                <w:iCs w:val="false"/>
                <w:color w:val="1A1A1A"/>
                <w:sz w:val="20"/>
                <w:szCs w:val="20"/>
              </w:rPr>
              <w:t xml:space="preserve">Some aims will still be content objectives about the topic rather than about the English. Ask the participant to rewrite them as something learners will be able to do in English.</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Independent Work 2 — brief</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Independent   ·   ~3 hours</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Before Session 3, participants finish Section 4 (revising against the Session 2 feedback) and complete Section 5 (knowing it's working). Remind them to keep the scheme to three to six steps for a single piece of learning.</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Session 3</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Synchronous   ·   2 hours</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Purpose.   </w:t>
            </w:r>
            <w:r>
              <w:rPr>
                <w:rFonts w:ascii="Lato" w:cs="Lato" w:eastAsia="Lato" w:hAnsi="Lato"/>
                <w:b w:val="false"/>
                <w:bCs w:val="false"/>
                <w:i w:val="false"/>
                <w:iCs w:val="false"/>
                <w:color w:val="1A1A1A"/>
                <w:sz w:val="20"/>
                <w:szCs w:val="20"/>
              </w:rPr>
              <w:t xml:space="preserve">Participants receive feedback on their full scheme, check it against the three criteria in Section 6, see how the planning move extends across a whole course, and close ready to submit for sign-off.</w:t>
            </w:r>
          </w:p>
        </w:tc>
      </w:tr>
    </w:tbl>
    <w:p>
      <w:pPr>
        <w:spacing w:after="60" w:before="150"/>
      </w:pPr>
      <w:r>
        <w:rPr>
          <w:rFonts w:ascii="Roboto" w:cs="Roboto" w:eastAsia="Roboto" w:hAnsi="Roboto"/>
          <w:b/>
          <w:bCs/>
          <w:i w:val="false"/>
          <w:iCs w:val="false"/>
          <w:color w:val="004976"/>
          <w:sz w:val="20"/>
          <w:szCs w:val="20"/>
        </w:rPr>
        <w:t xml:space="preserve">Suggested agenda</w:t>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1500"/>
        <w:gridCol w:w="8200"/>
      </w:tblGrid>
      <w:tr>
        <w:trPr>
          <w:tblHeader/>
        </w:trPr>
        <w:tc>
          <w:tcPr>
            <w:tcW w:type="dxa" w:w="15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Time</w:t>
            </w:r>
          </w:p>
        </w:tc>
        <w:tc>
          <w:tcPr>
            <w:tcW w:type="dxa" w:w="82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Activity</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0:00–0:10</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Check-in.</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0:10–0:55</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Peer feedback protocol on full schemes (see below).</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0:55–1:05</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Break.</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1:05–1:30</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Work through Section 6 (readiness checklist). Each participant checks their scheme against the three criteria.</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1:30–1:50</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Extending across the whole course: how to repeat the move for the next pieces of learning. Set next steps.</w:t>
            </w:r>
          </w:p>
        </w:tc>
      </w:tr>
      <w:tr>
        <w:trPr>
          <w:cantSplit/>
        </w:trPr>
        <w:tc>
          <w:tcPr>
            <w:tcW w:type="dxa" w:w="1500"/>
            <w:shd w:fill="EAF1F5" w:color="auto" w:val="clear"/>
            <w:tcMar>
              <w:top w:type="dxa" w:w="70"/>
              <w:left w:type="dxa" w:w="120"/>
              <w:bottom w:type="dxa" w:w="70"/>
              <w:right w:type="dxa" w:w="120"/>
            </w:tcMar>
            <w:vAlign w:val="top"/>
          </w:tcPr>
          <w:p>
            <w:pPr>
              <w:spacing w:after="0" w:before="0"/>
            </w:pPr>
            <w:r>
              <w:rPr>
                <w:rFonts w:ascii="Lato" w:cs="Lato" w:eastAsia="Lato" w:hAnsi="Lato"/>
                <w:b/>
                <w:bCs/>
                <w:i w:val="false"/>
                <w:iCs w:val="false"/>
                <w:color w:val="004976"/>
                <w:sz w:val="20"/>
                <w:szCs w:val="20"/>
              </w:rPr>
              <w:t xml:space="preserve">1:50–2:00</w:t>
            </w:r>
          </w:p>
        </w:tc>
        <w:tc>
          <w:tcPr>
            <w:tcW w:type="dxa" w:w="8200"/>
            <w:tcMar>
              <w:top w:type="dxa" w:w="70"/>
              <w:left w:type="dxa" w:w="120"/>
              <w:bottom w:type="dxa" w:w="70"/>
              <w:right w:type="dxa" w:w="120"/>
            </w:tcMar>
            <w:vAlign w:val="top"/>
          </w:tcPr>
          <w:p>
            <w:pPr>
              <w:spacing w:after="0" w:before="0"/>
            </w:pPr>
            <w:r>
              <w:rPr>
                <w:rFonts w:ascii="Lato" w:cs="Lato" w:eastAsia="Lato" w:hAnsi="Lato"/>
                <w:b w:val="false"/>
                <w:bCs w:val="false"/>
                <w:i w:val="false"/>
                <w:iCs w:val="false"/>
                <w:color w:val="1A1A1A"/>
                <w:sz w:val="20"/>
                <w:szCs w:val="20"/>
              </w:rPr>
              <w:t xml:space="preserve">Celebrate and close. Confirm how and when to submit the scheme for sign-off.</w:t>
            </w:r>
          </w:p>
        </w:tc>
      </w:tr>
    </w:tbl>
    <w:p>
      <w:pPr>
        <w:spacing w:after="60" w:before="150"/>
      </w:pPr>
      <w:r>
        <w:rPr>
          <w:rFonts w:ascii="Roboto" w:cs="Roboto" w:eastAsia="Roboto" w:hAnsi="Roboto"/>
          <w:b/>
          <w:bCs/>
          <w:i w:val="false"/>
          <w:iCs w:val="false"/>
          <w:color w:val="004976"/>
          <w:sz w:val="20"/>
          <w:szCs w:val="20"/>
        </w:rPr>
        <w:t xml:space="preserve">Facilitation notes</w:t>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Roboto" w:cs="Roboto" w:eastAsia="Roboto" w:hAnsi="Roboto"/>
                <w:b/>
                <w:bCs/>
                <w:i w:val="false"/>
                <w:iCs w:val="false"/>
                <w:color w:val="8F993E"/>
                <w:sz w:val="18"/>
                <w:szCs w:val="18"/>
              </w:rPr>
              <w:t xml:space="preserve">Trainer note — keep the extension light.   </w:t>
            </w:r>
            <w:r>
              <w:rPr>
                <w:rFonts w:ascii="Lato" w:cs="Lato" w:eastAsia="Lato" w:hAnsi="Lato"/>
                <w:b w:val="false"/>
                <w:bCs w:val="false"/>
                <w:i w:val="false"/>
                <w:iCs w:val="false"/>
                <w:color w:val="1A1A1A"/>
                <w:sz w:val="20"/>
                <w:szCs w:val="20"/>
              </w:rPr>
              <w:t xml:space="preserve">The extension in the final half hour sets up the planner's ongoing life. Participants are not planning a whole course now; they are seeing how the same move repeats for the next pieces of learning. Keep it to next steps, not a new planning task.</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Peer feedback protocol</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Used in Sessions 2 and 3</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Participants take turns as presenter and listener, roughly 15 minutes per presenter. Keep feedback tied to the three criteria a scheme is signed off on.</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70"/>
              <w:ind w:left="320" w:hanging="320"/>
            </w:pPr>
            <w:r>
              <w:rPr>
                <w:rFonts w:ascii="Lato" w:cs="Lato" w:eastAsia="Lato" w:hAnsi="Lato"/>
                <w:b/>
                <w:bCs/>
                <w:i w:val="false"/>
                <w:iCs w:val="false"/>
                <w:color w:val="004976"/>
                <w:sz w:val="20"/>
                <w:szCs w:val="20"/>
              </w:rPr>
              <w:t xml:space="preserve">1   </w:t>
            </w:r>
            <w:r>
              <w:rPr>
                <w:rFonts w:ascii="Lato" w:cs="Lato" w:eastAsia="Lato" w:hAnsi="Lato"/>
                <w:b/>
                <w:bCs/>
                <w:i w:val="false"/>
                <w:iCs w:val="false"/>
                <w:color w:val="004976"/>
                <w:sz w:val="20"/>
                <w:szCs w:val="20"/>
              </w:rPr>
              <w:t xml:space="preserve">Presenter shares (4 to 5 min).   </w:t>
            </w:r>
            <w:r>
              <w:rPr>
                <w:rFonts w:ascii="Lato" w:cs="Lato" w:eastAsia="Lato" w:hAnsi="Lato"/>
                <w:b w:val="false"/>
                <w:bCs w:val="false"/>
                <w:i w:val="false"/>
                <w:iCs w:val="false"/>
                <w:color w:val="1A1A1A"/>
                <w:sz w:val="20"/>
                <w:szCs w:val="20"/>
              </w:rPr>
              <w:t xml:space="preserve">The presenter walks through their scheme: the learning it sits inside, the language aims, and the steps. No interruptions; listeners take notes.</w:t>
            </w:r>
          </w:p>
          <w:p>
            <w:pPr>
              <w:spacing w:after="70"/>
              <w:ind w:left="320" w:hanging="320"/>
            </w:pPr>
            <w:r>
              <w:rPr>
                <w:rFonts w:ascii="Lato" w:cs="Lato" w:eastAsia="Lato" w:hAnsi="Lato"/>
                <w:b/>
                <w:bCs/>
                <w:i w:val="false"/>
                <w:iCs w:val="false"/>
                <w:color w:val="004976"/>
                <w:sz w:val="20"/>
                <w:szCs w:val="20"/>
              </w:rPr>
              <w:t xml:space="preserve">2   </w:t>
            </w:r>
            <w:r>
              <w:rPr>
                <w:rFonts w:ascii="Lato" w:cs="Lato" w:eastAsia="Lato" w:hAnsi="Lato"/>
                <w:b/>
                <w:bCs/>
                <w:i w:val="false"/>
                <w:iCs w:val="false"/>
                <w:color w:val="004976"/>
                <w:sz w:val="20"/>
                <w:szCs w:val="20"/>
              </w:rPr>
              <w:t xml:space="preserve">Clarifying questions (2 to 3 min).   </w:t>
            </w:r>
            <w:r>
              <w:rPr>
                <w:rFonts w:ascii="Lato" w:cs="Lato" w:eastAsia="Lato" w:hAnsi="Lato"/>
                <w:b w:val="false"/>
                <w:bCs w:val="false"/>
                <w:i w:val="false"/>
                <w:iCs w:val="false"/>
                <w:color w:val="1A1A1A"/>
                <w:sz w:val="20"/>
                <w:szCs w:val="20"/>
              </w:rPr>
              <w:t xml:space="preserve">Genuine questions to understand the scheme, not suggestions yet.</w:t>
            </w:r>
          </w:p>
          <w:p>
            <w:pPr>
              <w:spacing w:after="70"/>
              <w:ind w:left="320" w:hanging="320"/>
            </w:pPr>
            <w:r>
              <w:rPr>
                <w:rFonts w:ascii="Lato" w:cs="Lato" w:eastAsia="Lato" w:hAnsi="Lato"/>
                <w:b/>
                <w:bCs/>
                <w:i w:val="false"/>
                <w:iCs w:val="false"/>
                <w:color w:val="004976"/>
                <w:sz w:val="20"/>
                <w:szCs w:val="20"/>
              </w:rPr>
              <w:t xml:space="preserve">3   </w:t>
            </w:r>
            <w:r>
              <w:rPr>
                <w:rFonts w:ascii="Lato" w:cs="Lato" w:eastAsia="Lato" w:hAnsi="Lato"/>
                <w:b/>
                <w:bCs/>
                <w:i w:val="false"/>
                <w:iCs w:val="false"/>
                <w:color w:val="004976"/>
                <w:sz w:val="20"/>
                <w:szCs w:val="20"/>
              </w:rPr>
              <w:t xml:space="preserve">Warm feedback (3 to 4 min).   </w:t>
            </w:r>
            <w:r>
              <w:rPr>
                <w:rFonts w:ascii="Lato" w:cs="Lato" w:eastAsia="Lato" w:hAnsi="Lato"/>
                <w:b w:val="false"/>
                <w:bCs w:val="false"/>
                <w:i w:val="false"/>
                <w:iCs w:val="false"/>
                <w:color w:val="1A1A1A"/>
                <w:sz w:val="20"/>
                <w:szCs w:val="20"/>
              </w:rPr>
              <w:t xml:space="preserve">What is strong, referring to the three criteria. For example: the aims are realistic for A1; the English is drawn straight from the learning.</w:t>
            </w:r>
          </w:p>
          <w:p>
            <w:pPr>
              <w:spacing w:after="70"/>
              <w:ind w:left="320" w:hanging="320"/>
            </w:pPr>
            <w:r>
              <w:rPr>
                <w:rFonts w:ascii="Lato" w:cs="Lato" w:eastAsia="Lato" w:hAnsi="Lato"/>
                <w:b/>
                <w:bCs/>
                <w:i w:val="false"/>
                <w:iCs w:val="false"/>
                <w:color w:val="004976"/>
                <w:sz w:val="20"/>
                <w:szCs w:val="20"/>
              </w:rPr>
              <w:t xml:space="preserve">4   </w:t>
            </w:r>
            <w:r>
              <w:rPr>
                <w:rFonts w:ascii="Lato" w:cs="Lato" w:eastAsia="Lato" w:hAnsi="Lato"/>
                <w:b/>
                <w:bCs/>
                <w:i w:val="false"/>
                <w:iCs w:val="false"/>
                <w:color w:val="004976"/>
                <w:sz w:val="20"/>
                <w:szCs w:val="20"/>
              </w:rPr>
              <w:t xml:space="preserve">Cool feedback (4 to 5 min).   </w:t>
            </w:r>
            <w:r>
              <w:rPr>
                <w:rFonts w:ascii="Lato" w:cs="Lato" w:eastAsia="Lato" w:hAnsi="Lato"/>
                <w:b w:val="false"/>
                <w:bCs w:val="false"/>
                <w:i w:val="false"/>
                <w:iCs w:val="false"/>
                <w:color w:val="1A1A1A"/>
                <w:sz w:val="20"/>
                <w:szCs w:val="20"/>
              </w:rPr>
              <w:t xml:space="preserve">One or two questions or possibilities that might strengthen the scheme, framed as questions rather than instructions.</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Roboto" w:cs="Roboto" w:eastAsia="Roboto" w:hAnsi="Roboto"/>
                <w:b/>
                <w:bCs/>
                <w:i w:val="false"/>
                <w:iCs w:val="false"/>
                <w:color w:val="8F993E"/>
                <w:sz w:val="18"/>
                <w:szCs w:val="18"/>
              </w:rPr>
              <w:t xml:space="preserve">Trainer note — grouping.   </w:t>
            </w:r>
            <w:r>
              <w:rPr>
                <w:rFonts w:ascii="Lato" w:cs="Lato" w:eastAsia="Lato" w:hAnsi="Lato"/>
                <w:b w:val="false"/>
                <w:bCs w:val="false"/>
                <w:i w:val="false"/>
                <w:iCs w:val="false"/>
                <w:color w:val="1A1A1A"/>
                <w:sz w:val="20"/>
                <w:szCs w:val="20"/>
              </w:rPr>
              <w:t xml:space="preserve">Pairs: each person presents once, about 20 minutes each, best for smaller groups. Groups of three: about 15 minutes each, good for 6 to 12 participants. Avoid groups larger than three.</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Roboto" w:cs="Roboto" w:eastAsia="Roboto" w:hAnsi="Roboto"/>
                <w:b/>
                <w:bCs/>
                <w:i w:val="false"/>
                <w:iCs w:val="false"/>
                <w:color w:val="8F993E"/>
                <w:sz w:val="18"/>
                <w:szCs w:val="18"/>
              </w:rPr>
              <w:t xml:space="preserve">Trainer note — in person and online.   </w:t>
            </w:r>
            <w:r>
              <w:rPr>
                <w:rFonts w:ascii="Lato" w:cs="Lato" w:eastAsia="Lato" w:hAnsi="Lato"/>
                <w:b w:val="false"/>
                <w:bCs w:val="false"/>
                <w:i w:val="false"/>
                <w:iCs w:val="false"/>
                <w:color w:val="1A1A1A"/>
                <w:sz w:val="20"/>
                <w:szCs w:val="20"/>
              </w:rPr>
              <w:t xml:space="preserve">In person, use separate spaces so groups cannot overhear each other, and a visible timer. Online, set up breakout rooms in advance, share the protocol in the chat, send a five-minute warning, and ask each room to share one warm and one cool point in the debrief.</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Signing off the module</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After Session 3, each participant is signed off on the scheme they have produced. This is a desk review of the submitted scheme: there is no observed teaching and no sign-off conversation.</w:t>
            </w:r>
          </w:p>
        </w:tc>
      </w:tr>
    </w:tbl>
    <w:p>
      <w:pPr>
        <w:spacing w:after="80" w:before="0"/>
      </w:pPr>
      <w:r>
        <w:rPr>
          <w:rFonts w:ascii="Lato" w:cs="Lato" w:eastAsia="Lato" w:hAnsi="Lato"/>
          <w:b w:val="false"/>
          <w:bCs w:val="false"/>
          <w:i w:val="false"/>
          <w:iCs w:val="false"/>
          <w:color w:val="1A1A1A"/>
          <w:sz w:val="20"/>
          <w:szCs w:val="20"/>
        </w:rPr>
        <w:t xml:space="preserve"/>
      </w:r>
    </w:p>
    <w:p>
      <w:pPr>
        <w:spacing w:after="100" w:before="0"/>
      </w:pPr>
      <w:r>
        <w:rPr>
          <w:rFonts w:ascii="Lato" w:cs="Lato" w:eastAsia="Lato" w:hAnsi="Lato"/>
          <w:b w:val="false"/>
          <w:bCs w:val="false"/>
          <w:i w:val="false"/>
          <w:iCs w:val="false"/>
          <w:color w:val="1A1A1A"/>
          <w:sz w:val="20"/>
          <w:szCs w:val="20"/>
        </w:rPr>
        <w:t xml:space="preserve">What the participant submits: their completed scheme (Section 4, three to six steps) together with Sections 1, 2 and 5 of the Planning Guide.</w:t>
      </w:r>
    </w:p>
    <w:p>
      <w:pPr>
        <w:spacing w:after="60" w:before="150"/>
      </w:pPr>
      <w:r>
        <w:rPr>
          <w:rFonts w:ascii="Roboto" w:cs="Roboto" w:eastAsia="Roboto" w:hAnsi="Roboto"/>
          <w:b/>
          <w:bCs/>
          <w:i w:val="false"/>
          <w:iCs w:val="false"/>
          <w:color w:val="004976"/>
          <w:sz w:val="20"/>
          <w:szCs w:val="20"/>
        </w:rPr>
        <w:t xml:space="preserve">Review against three criteria, each judged Met or Not yet</w:t>
      </w:r>
    </w:p>
    <w:p>
      <w:pPr>
        <w:spacing w:after="50" w:before="0"/>
      </w:pPr>
      <w:r>
        <w:rPr>
          <w:rFonts w:ascii="Lato" w:cs="Lato" w:eastAsia="Lato" w:hAnsi="Lato"/>
          <w:b/>
          <w:bCs/>
          <w:i w:val="false"/>
          <w:iCs w:val="false"/>
          <w:color w:val="004976"/>
          <w:sz w:val="20"/>
          <w:szCs w:val="20"/>
        </w:rPr>
        <w:t xml:space="preserve">1.  Pitched to the level.   </w:t>
      </w:r>
      <w:r>
        <w:rPr>
          <w:rFonts w:ascii="Lato" w:cs="Lato" w:eastAsia="Lato" w:hAnsi="Lato"/>
          <w:b w:val="false"/>
          <w:bCs w:val="false"/>
          <w:i w:val="false"/>
          <w:iCs w:val="false"/>
          <w:color w:val="1A1A1A"/>
          <w:sz w:val="20"/>
          <w:szCs w:val="20"/>
        </w:rPr>
        <w:t xml:space="preserve">The English is realistic and scaffolded for learners at and around CEFR A1.</w:t>
      </w:r>
    </w:p>
    <w:p>
      <w:pPr>
        <w:spacing w:after="50" w:before="0"/>
      </w:pPr>
      <w:r>
        <w:rPr>
          <w:rFonts w:ascii="Lato" w:cs="Lato" w:eastAsia="Lato" w:hAnsi="Lato"/>
          <w:b/>
          <w:bCs/>
          <w:i w:val="false"/>
          <w:iCs w:val="false"/>
          <w:color w:val="004976"/>
          <w:sz w:val="20"/>
          <w:szCs w:val="20"/>
        </w:rPr>
        <w:t xml:space="preserve">2.  Sound language-development approach.   </w:t>
      </w:r>
      <w:r>
        <w:rPr>
          <w:rFonts w:ascii="Lato" w:cs="Lato" w:eastAsia="Lato" w:hAnsi="Lato"/>
          <w:b w:val="false"/>
          <w:bCs w:val="false"/>
          <w:i w:val="false"/>
          <w:iCs w:val="false"/>
          <w:color w:val="1A1A1A"/>
          <w:sz w:val="20"/>
          <w:szCs w:val="20"/>
        </w:rPr>
        <w:t xml:space="preserve">Clear language aims, developed through real use and meaningful communication.</w:t>
      </w:r>
    </w:p>
    <w:p>
      <w:pPr>
        <w:spacing w:after="100" w:before="0"/>
      </w:pPr>
      <w:r>
        <w:rPr>
          <w:rFonts w:ascii="Lato" w:cs="Lato" w:eastAsia="Lato" w:hAnsi="Lato"/>
          <w:b/>
          <w:bCs/>
          <w:i w:val="false"/>
          <w:iCs w:val="false"/>
          <w:color w:val="004976"/>
          <w:sz w:val="20"/>
          <w:szCs w:val="20"/>
        </w:rPr>
        <w:t xml:space="preserve">3.  Purposeful and connected.   </w:t>
      </w:r>
      <w:r>
        <w:rPr>
          <w:rFonts w:ascii="Lato" w:cs="Lato" w:eastAsia="Lato" w:hAnsi="Lato"/>
          <w:b w:val="false"/>
          <w:bCs w:val="false"/>
          <w:i w:val="false"/>
          <w:iCs w:val="false"/>
          <w:color w:val="1A1A1A"/>
          <w:sz w:val="20"/>
          <w:szCs w:val="20"/>
        </w:rPr>
        <w:t xml:space="preserve">The English is drawn from learning that matters and, where there is wider learning, connects to it rather than sitting apart.</w:t>
      </w:r>
    </w:p>
    <w:tbl>
      <w:tblPr>
        <w:tblW w:type="dxa" w:w="9700"/>
        <w:tblBorders>
          <w:top w:val="none" w:color="FFFFFF" w:sz="0"/>
          <w:left w:val="single" w:color="8F993E" w:sz="22"/>
          <w:bottom w:val="none" w:color="FFFFFF" w:sz="0"/>
          <w:right w:val="none" w:color="FFFFFF" w:sz="0"/>
          <w:insideH w:val="none" w:color="FFFFFF" w:sz="0"/>
          <w:insideV w:val="none" w:color="FFFFFF" w:sz="0"/>
        </w:tblBorders>
      </w:tblPr>
      <w:tblGrid>
        <w:gridCol w:w="9700"/>
      </w:tblGrid>
      <w:tr>
        <w:tc>
          <w:tcPr>
            <w:tcW w:type="dxa" w:w="9700"/>
            <w:shd w:fill="F1F3E3" w:color="auto" w:val="clear"/>
            <w:tcMar>
              <w:top w:type="dxa" w:w="130"/>
              <w:left w:type="dxa" w:w="180"/>
              <w:bottom w:type="dxa" w:w="130"/>
              <w:right w:type="dxa" w:w="170"/>
            </w:tcMar>
          </w:tcPr>
          <w:p>
            <w:pPr>
              <w:spacing w:after="60" w:before="0"/>
            </w:pPr>
            <w:r>
              <w:rPr>
                <w:rFonts w:ascii="Lato" w:cs="Lato" w:eastAsia="Lato" w:hAnsi="Lato"/>
                <w:b/>
                <w:bCs/>
                <w:i w:val="false"/>
                <w:iCs w:val="false"/>
                <w:color w:val="004976"/>
                <w:sz w:val="20"/>
                <w:szCs w:val="20"/>
              </w:rPr>
              <w:t xml:space="preserve">The threshold.   </w:t>
            </w:r>
            <w:r>
              <w:rPr>
                <w:rFonts w:ascii="Lato" w:cs="Lato" w:eastAsia="Lato" w:hAnsi="Lato"/>
                <w:b w:val="false"/>
                <w:bCs w:val="false"/>
                <w:i w:val="false"/>
                <w:iCs w:val="false"/>
                <w:color w:val="1A1A1A"/>
                <w:sz w:val="20"/>
                <w:szCs w:val="20"/>
              </w:rPr>
              <w:t xml:space="preserve">All three Met is a pass. If any criterion is Not yet, give specific written feedback and the participant has one resit: a revised submission with no follow-up call. If the resit is still Not yet, they re-enrol on a future cohort.</w:t>
            </w:r>
          </w:p>
          <w:p>
            <w:pPr>
              <w:spacing w:after="0" w:before="0"/>
            </w:pPr>
            <w:r>
              <w:rPr>
                <w:rFonts w:ascii="Lato" w:cs="Lato" w:eastAsia="Lato" w:hAnsi="Lato"/>
                <w:b w:val="false"/>
                <w:bCs w:val="false"/>
                <w:i w:val="false"/>
                <w:iCs w:val="false"/>
                <w:color w:val="1A1A1A"/>
                <w:sz w:val="20"/>
                <w:szCs w:val="20"/>
              </w:rPr>
              <w:t xml:space="preserve">Record the outcome on the record sheet in the Module Sign-off Guide, which holds the full criteria descriptors and confirms the participant now holds the Teaching English as a Second Language module.</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pBdr>
      <w:spacing w:before="80"/>
      <w:jc w:val="center"/>
    </w:pPr>
    <w:r>
      <w:rPr>
        <w:rFonts w:ascii="Lato" w:cs="Lato" w:eastAsia="Lato" w:hAnsi="Lato"/>
        <w:b w:val="false"/>
        <w:bCs w:val="false"/>
        <w:i w:val="false"/>
        <w:iCs w:val="false"/>
        <w:color w:val="5A6B76"/>
        <w:sz w:val="16"/>
        <w:szCs w:val="16"/>
      </w:rPr>
      <w:t xml:space="preserve">Amala Education for Change   ·   Teaching English as a Second Language   ·   Trainer Guide   ·   Page </w:t>
    </w:r>
    <w:r>
      <w:rPr>
        <w:rFonts w:ascii="Lato" w:cs="Lato" w:eastAsia="Lato" w:hAnsi="Lato"/>
        <w:color w:val="5A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English as a Second Language — Trainer Guide</dc:title>
  <dc:creator>Amala Education for Change</dc:creator>
  <cp:lastModifiedBy>Un-named</cp:lastModifiedBy>
  <cp:revision>1</cp:revision>
  <dcterms:created xsi:type="dcterms:W3CDTF">2026-08-04T07:51:21.252Z</dcterms:created>
  <dcterms:modified xsi:type="dcterms:W3CDTF">2026-08-04T07:51:21.252Z</dcterms:modified>
</cp:coreProperties>
</file>

<file path=docProps/custom.xml><?xml version="1.0" encoding="utf-8"?>
<Properties xmlns="http://schemas.openxmlformats.org/officeDocument/2006/custom-properties" xmlns:vt="http://schemas.openxmlformats.org/officeDocument/2006/docPropsVTypes"/>
</file>