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</w:pPr>
      <w:r>
        <w:rPr>
          <w:b/>
          <w:bCs/>
          <w:color w:val="1F3A5F"/>
          <w:sz w:val="44"/>
          <w:szCs w:val="44"/>
        </w:rPr>
        <w:t xml:space="preserve">Mentor’s record</w:t>
      </w:r>
    </w:p>
    <w:p>
      <w:pPr>
        <w:spacing w:after="40" w:before="0" w:line="300"/>
      </w:pPr>
      <w:r>
        <w:rPr>
          <w:b/>
          <w:bCs/>
          <w:color w:val="7A3B69"/>
          <w:sz w:val="24"/>
          <w:szCs w:val="24"/>
        </w:rPr>
        <w:t xml:space="preserve">One page per learner · the whole twelve weeks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Learning Bridge+ (Cox's Bazar)  ·  make one copy per learner on your caseload</w:t>
      </w:r>
    </w:p>
    <w:tbl>
      <w:tblPr>
        <w:tblW w:type="pct" w:w="100%"/>
        <w:tblBorders>
          <w:top w:val="none"/>
          <w:left w:val="single" w:color="7A3B69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7A3B69"/>
                <w:spacing w:val="24"/>
                <w:sz w:val="17"/>
                <w:szCs w:val="17"/>
              </w:rPr>
              <w:t xml:space="preserve">THE TEST FOR ANYTHING YOU WRITE HERE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Would you be willing to read this line aloud to the learner? If not, it does not go on this page.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Details of a disclosure are NOT recorded here. They go, separately and in the learner’s own words, to the person you refer to.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One page, one learner. Keep it where another learner cannot read it.</w:t>
            </w:r>
          </w:p>
        </w:tc>
      </w:tr>
    </w:tbl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Learner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Language we talk in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other facilitators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learning goal (update it when it changes)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20" w:before="0" w:line="300"/>
      </w:pPr>
      <w:r>
        <w:rPr>
          <w:color w:val="5A6473"/>
          <w:sz w:val="19"/>
          <w:szCs w:val="19"/>
        </w:rPr>
        <w:t xml:space="preserve">Flag key:   ! = watch this   → = referred (write the date)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3400"/>
        <w:gridCol w:w="2100"/>
        <w:gridCol w:w="800"/>
      </w:tblGrid>
      <w:tr>
        <w:trPr>
          <w:tblHeader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Week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Step we agreed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What I noticed (facts, not diagnosis)</w:t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Last step happened?</w:t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Flag</w:t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7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8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9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10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11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12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40" w:before="160" w:line="300"/>
      </w:pPr>
      <w:r>
        <w:rPr>
          <w:b/>
          <w:bCs/>
          <w:color w:val="6E7A2E"/>
          <w:sz w:val="20"/>
          <w:szCs w:val="20"/>
        </w:rPr>
        <w:t xml:space="preserve">Read the WHOLE page every few weeks, not just the last row. The pattern is the point, and it is invisible one row at a time.</w:t>
      </w:r>
    </w:p>
    <w:p>
      <w:pPr>
        <w:spacing w:after="140" w:before="60" w:line="300"/>
      </w:pPr>
      <w:r>
        <w:rPr>
          <w:b/>
          <w:bCs/>
          <w:color w:val="5A6473"/>
          <w:sz w:val="20"/>
          <w:szCs w:val="20"/>
        </w:rPr>
        <w:t xml:space="preserve">Bring this to the Week-6 and Week-12 judgements. What you saw and heard in mentoring is legitimate evidence, for a learner who cannot yet write, it may be your strongest.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Learning Bridge+ (Cox's Bazar) · Mentoring and Wellbeing · Amala Education with NRC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2026-08-25T07:20:44.601Z</dcterms:created>
  <dcterms:modified xsi:type="dcterms:W3CDTF">2026-08-25T07:20:44.601Z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