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Mentoring and Wellbeing</w:t>
      </w:r>
    </w:p>
    <w:p>
      <w:pPr>
        <w:spacing w:after="200" w:before="0" w:line="300"/>
      </w:pPr>
      <w:r>
        <w:rPr>
          <w:b/>
          <w:bCs/>
          <w:color w:val="7A3B69"/>
          <w:sz w:val="30"/>
          <w:szCs w:val="30"/>
        </w:rPr>
        <w:t xml:space="preserve">Mentor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you will come back to it, so it is worth binding.</w:t>
      </w:r>
    </w:p>
    <w:p>
      <w:pPr>
        <w:pStyle w:val="ListParagraph"/>
        <w:numPr>
          <w:ilvl w:val="0"/>
          <w:numId w:val="1"/>
        </w:numPr>
        <w:spacing w:after="80" w:line="300"/>
      </w:pPr>
      <w:r>
        <w:rPr>
          <w:sz w:val="22"/>
          <w:szCs w:val="22"/>
        </w:rPr>
        <w:t xml:space="preserve">If paper is short, print "Safeguarding and referral" and "The ten-minute conversation" first, those two you need in your hand.</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sections of this guide,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plan for the fourth component: short 1:1 conversations, most weeks, folded into the in-person time the other three components already use. It is set out as an arc rather than in hours, because a mentoring relationship over twelve weeks has phases, getting known, keeping the goal alive, the week-6 checkpoint, surfacing growth, and an honest closing conversation, and which phase you are in changes what the conversation is for. It adds no hours to the timetable.</w:t>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about ten minutes per learner, most weeks, inside the in-person time the taught components already use.</w:t>
      </w:r>
    </w:p>
    <w:p>
      <w:pPr>
        <w:pStyle w:val="Heading2"/>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3"/>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3"/>
        <w:keepNext/>
        <w:spacing w:after="80" w:before="220"/>
      </w:pPr>
      <w:r>
        <w:rPr>
          <w:b/>
          <w:bCs/>
          <w:color w:val="1F3A5F"/>
          <w:sz w:val="24"/>
          <w:szCs w:val="24"/>
        </w:rPr>
        <w:t xml:space="preserve">2.  Distress is noticed early, and referred,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3"/>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3"/>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caring for siblings, translating, earning, resolving a dispute,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3"/>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where a site can manage it,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check in, pick up the last step, look at what is in front of them, agree one next step,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1"/>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2"/>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loss, family, marriage, displacement, and the safeguarding moves never replace NRC's own policy and referral pathways.</w:t>
      </w:r>
    </w:p>
    <w:p>
      <w:pPr>
        <w:pStyle w:val="Heading2"/>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child marriage, family separation, gender-based violence,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caring for siblings, translating, running a stall, resolving disputes,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1"/>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it happens inside the in-person time you already have.</w:t>
      </w:r>
    </w:p>
    <w:p>
      <w:pPr>
        <w:pStyle w:val="Heading2"/>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who you hand a concern to, and how,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2"/>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2"/>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drawing, sorting, practising in pairs,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2"/>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one page per learner,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2"/>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2"/>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1"/>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2"/>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2"/>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2"/>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2"/>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2"/>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That conversation is sometimes the only intervention that happens.</w:t>
      </w:r>
    </w:p>
    <w:p>
      <w:pPr>
        <w:pStyle w:val="Heading2"/>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2"/>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2"/>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That is what the referral is for, and it is for your sake as well as theirs. Tell your coordinator when a conversation has affected you. A mentor running on empty stops noticing, and noticing is the job.</w:t>
      </w:r>
    </w:p>
    <w:p>
      <w:r>
        <w:br w:type="page"/>
      </w:r>
    </w:p>
    <w:p>
      <w:pPr>
        <w:pStyle w:val="Heading1"/>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check in, pick up the last step, look at what is in front of them, agree one next step, with the questions to ask, the five-second wait, what to do when a learner says nothing, and how to close.</w:t>
      </w:r>
    </w:p>
    <w:p>
      <w:pPr>
        <w:pStyle w:val="Heading2"/>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2"/>
        <w:keepNext/>
        <w:spacing w:after="100" w:before="280"/>
      </w:pPr>
      <w:r>
        <w:rPr>
          <w:b/>
          <w:bCs/>
          <w:color w:val="7A3B69"/>
          <w:sz w:val="28"/>
          <w:szCs w:val="28"/>
        </w:rPr>
        <w:t xml:space="preserve">The four moves</w:t>
      </w:r>
    </w:p>
    <w:p>
      <w:pPr>
        <w:spacing w:after="140" w:before="0" w:line="300"/>
      </w:pPr>
      <w:r>
        <w:rPr>
          <w:sz w:val="22"/>
          <w:szCs w:val="22"/>
        </w:rPr>
        <w:t xml:space="preserve">1. Check in,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about two minutes. Always last.</w:t>
      </w:r>
    </w:p>
    <w:p>
      <w:pPr>
        <w:spacing w:after="140" w:before="0" w:line="300"/>
      </w:pPr>
      <w:r>
        <w:rPr>
          <w:sz w:val="22"/>
          <w:szCs w:val="22"/>
        </w:rPr>
        <w:t xml:space="preserve">One step. Small enough that it will actually happen before you next meet. The learner says it, not you.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2"/>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2"/>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2"/>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2"/>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1"/>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2"/>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2"/>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2"/>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2"/>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2"/>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especially for learners whose strongest work is spoken, which in this cohort is most of them.</w:t>
      </w:r>
    </w:p>
    <w:p>
      <w:pPr>
        <w:pStyle w:val="Heading2"/>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1"/>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where a site can manage it.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2"/>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3"/>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start here”.</w:t>
      </w:r>
    </w:p>
    <w:p>
      <w:pPr>
        <w:pStyle w:val="Heading3"/>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3"/>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one page per learner”.</w:t>
      </w:r>
    </w:p>
    <w:p>
      <w:pPr>
        <w:pStyle w:val="Heading2"/>
        <w:keepNext/>
        <w:spacing w:after="100" w:before="280"/>
      </w:pPr>
      <w:r>
        <w:rPr>
          <w:b/>
          <w:bCs/>
          <w:color w:val="7A3B69"/>
          <w:sz w:val="28"/>
          <w:szCs w:val="28"/>
        </w:rPr>
        <w:t xml:space="preserve">Weeks 1–2,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3"/>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learners set it around Week 5,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2"/>
        <w:keepNext/>
        <w:spacing w:after="100" w:before="280"/>
      </w:pPr>
      <w:r>
        <w:rPr>
          <w:b/>
          <w:bCs/>
          <w:color w:val="7A3B69"/>
          <w:sz w:val="28"/>
          <w:szCs w:val="28"/>
        </w:rPr>
        <w:t xml:space="preserve">Weeks 3–5,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3"/>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2"/>
        <w:keepNext/>
        <w:spacing w:after="100" w:before="280"/>
      </w:pPr>
      <w:r>
        <w:rPr>
          <w:b/>
          <w:bCs/>
          <w:color w:val="7A3B69"/>
          <w:sz w:val="28"/>
          <w:szCs w:val="28"/>
        </w:rPr>
        <w:t xml:space="preserve">Week 6,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3"/>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the goal-pursuit weeks are still ahead,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one page per learner”.</w:t>
      </w:r>
    </w:p>
    <w:p>
      <w:pPr>
        <w:pStyle w:val="Heading2"/>
        <w:keepNext/>
        <w:spacing w:after="100" w:before="280"/>
      </w:pPr>
      <w:r>
        <w:rPr>
          <w:b/>
          <w:bCs/>
          <w:color w:val="7A3B69"/>
          <w:sz w:val="28"/>
          <w:szCs w:val="28"/>
        </w:rPr>
        <w:t xml:space="preserve">Weeks 7–11, surfacing growth</w:t>
      </w:r>
    </w:p>
    <w:p>
      <w:pPr>
        <w:spacing w:after="140" w:before="0" w:line="300"/>
      </w:pPr>
      <w:r>
        <w:rPr>
          <w:b/>
          <w:bCs/>
          <w:color w:val="5A6473"/>
          <w:sz w:val="21"/>
          <w:szCs w:val="21"/>
        </w:rPr>
        <w:t xml:space="preserve">Naming the capability a learner already has but does not count, and, where a site can manage it.  bringing an adult who matters into the picture.</w:t>
      </w:r>
    </w:p>
    <w:p>
      <w:pPr>
        <w:pStyle w:val="Heading3"/>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both can be true at once.</w:t>
            </w:r>
          </w:p>
        </w:tc>
      </w:tr>
    </w:tbl>
    <w:p>
      <w:pPr>
        <w:spacing w:after="140" w:before="0" w:line="300"/>
      </w:pPr>
      <w:r>
        <w:rPr>
          <w:b/>
          <w:bCs/>
          <w:color w:val="5A6473"/>
          <w:sz w:val="19"/>
          <w:szCs w:val="19"/>
        </w:rPr>
        <w:t xml:space="preserve">Full guidance: “Surfacing the growth a learner cannot see”.</w:t>
      </w:r>
    </w:p>
    <w:p>
      <w:pPr>
        <w:pStyle w:val="Heading3"/>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2"/>
        <w:keepNext/>
        <w:spacing w:after="100" w:before="280"/>
      </w:pPr>
      <w:r>
        <w:rPr>
          <w:b/>
          <w:bCs/>
          <w:color w:val="7A3B69"/>
          <w:sz w:val="28"/>
          <w:szCs w:val="28"/>
        </w:rPr>
        <w:t xml:space="preserve">Week 12,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3"/>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twelve weeks, what is different about you now,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1"/>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2"/>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2"/>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2"/>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2"/>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2"/>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1"/>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For a cohort that routinely undervalues what it can already do.</w:t>
      </w:r>
    </w:p>
    <w:p>
      <w:pPr>
        <w:pStyle w:val="Heading2"/>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running a household, caring for younger siblings, translating for adults, earning, negotiating at a stall, resolving a dispute between neighbours, keeping a family fed on nothing.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2"/>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took my sister to the health post, sorted out the argument at the water point, sold at the stall, cooked for six,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on your record, in their words. This is assessment evidence. See the mentor record.</w:t>
      </w:r>
    </w:p>
    <w:p>
      <w:pPr>
        <w:pStyle w:val="Heading2"/>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and often the answer to the agency question they could not answer</w:t>
            </w:r>
          </w:p>
        </w:tc>
      </w:tr>
    </w:tbl>
    <w:p>
      <w:pPr>
        <w:pStyle w:val="Heading2"/>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2"/>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1"/>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mentor, learner, and one adult the learner chooses,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2"/>
        <w:keepNext/>
        <w:spacing w:after="100" w:before="280"/>
      </w:pPr>
      <w:r>
        <w:rPr>
          <w:b/>
          <w:bCs/>
          <w:color w:val="7A3B69"/>
          <w:sz w:val="28"/>
          <w:szCs w:val="28"/>
        </w:rPr>
        <w:t xml:space="preserve">Why bother: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protect this half hour, ask her about her goal on Fridays,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2"/>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It is evidence. The learner writes or draws the agreed one thing on their mentoring page. Do not write anything about the meeting on the learner's own page beyond that: their book goes home.</w:t>
      </w:r>
    </w:p>
    <w:p>
      <w:pPr>
        <w:pStyle w:val="Heading2"/>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"what I'd most like to hear is what you have seen her do well",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3"/>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Nobody will ask you why, and nothing bad happens.</w:t>
      </w:r>
    </w:p>
    <w:p>
      <w:pPr>
        <w:pStyle w:val="Heading3"/>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3"/>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1"/>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Including when the honest answer is that the accredited place is not there yet.</w:t>
      </w:r>
    </w:p>
    <w:p>
      <w:pPr>
        <w:pStyle w:val="Heading2"/>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say the honest thing then add a hopeful thing that is not connected to it, learners hear only the first half, and they are right to.</w:t>
      </w:r>
    </w:p>
    <w:p>
      <w:pPr>
        <w:pStyle w:val="Heading2"/>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2"/>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2"/>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2"/>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For which a learner's own account of what changed is worth more than another number.</w:t>
      </w:r>
    </w:p>
    <w:p>
      <w:pPr>
        <w:spacing w:after="140" w:before="240" w:line="300"/>
      </w:pPr>
      <w:r>
        <w:rPr>
          <w:color w:val="5A6473"/>
          <w:sz w:val="18"/>
          <w:szCs w:val="18"/>
        </w:rPr>
        <w:t xml:space="preserve">This guide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Learning Bridge+ (Cox's Bazar) · Mentoring and Wellbeing · Amala Education with NRC</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2026-08-25T07:20:44.598Z</dcterms:created>
  <dcterms:modified xsi:type="dcterms:W3CDTF">2026-08-25T07:20:44.599Z</dcterms:modified>
</cp:coreProperties>
</file>

<file path=docProps/custom.xml><?xml version="1.0" encoding="utf-8"?>
<Properties xmlns="http://schemas.openxmlformats.org/officeDocument/2006/custom-properties" xmlns:vt="http://schemas.openxmlformats.org/officeDocument/2006/docPropsVTypes"/>
</file>