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Challenges brainstorm, template</w:t>
      </w:r>
    </w:p>
    <w:p>
      <w:pPr>
        <w:spacing w:after="140" w:before="0"/>
      </w:pPr>
      <w:r>
        <w:rPr>
          <w:color w:val="5A6473"/>
          <w:sz w:val="22"/>
          <w:szCs w:val="22"/>
        </w:rPr>
        <w:t xml:space="preserve">Personal · Community · Global. List as many challenges as you can in each column.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Personal challenge</w:t>
            </w:r>
          </w:p>
        </w:tc>
        <w:tc>
          <w:tcPr>
            <w:tcW w:type="dxa" w:w="32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Community challenge</w:t>
            </w:r>
          </w:p>
        </w:tc>
        <w:tc>
          <w:tcPr>
            <w:tcW w:type="dxa" w:w="32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Global challenge</w:t>
            </w:r>
          </w:p>
        </w:tc>
      </w:tr>
      <w:tr>
        <w:trPr>
          <w:trHeight w:val="4200" w:hRule="atLeast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Conclusion: which challenges interest you most, and which are the right size to act on?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2026-08-25T07:20:59.130Z</dcterms:created>
  <dcterms:modified xsi:type="dcterms:W3CDTF">2026-08-25T07:20:59.130Z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