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Trainer Guide</w:t>
      </w:r>
    </w:p>
    <w:p>
      <w:pPr>
        <w:spacing w:after="60" w:before="0" w:line="300"/>
      </w:pPr>
      <w:r>
        <w:rPr>
          <w:b/>
          <w:bCs/>
          <w:color w:val="7A3B69"/>
          <w:sz w:val="28"/>
          <w:szCs w:val="28"/>
        </w:rPr>
        <w:t xml:space="preserve">Inducting the facilitators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NRC’s master educators - the people who induct the facilitators before a cohort starts. It says what induction covers, what it deliberately does not, how to run the two inductions, and how you know a facilitator is ready to start. It is a companion to the Educator Guide, which is what facilitators deliver from, and to the Coordinator Guide, which is how the cohort around them is run.</w:t>
      </w:r>
    </w:p>
    <w:p>
      <w:pPr>
        <w:pBdr>
          <w:bottom w:val="single" w:color="B9B3A6" w:sz="4"/>
        </w:pBdr>
        <w:spacing w:after="180" w:before="60"/>
      </w:pPr>
    </w:p>
    <w:p>
      <w:pPr>
        <w:pStyle w:val="Heading1"/>
        <w:keepNext/>
        <w:spacing w:after="140" w:before="320"/>
      </w:pPr>
      <w:r>
        <w:rPr>
          <w:b/>
          <w:bCs/>
          <w:color w:val="1F3A5F"/>
          <w:sz w:val="36"/>
          <w:szCs w:val="36"/>
        </w:rPr>
        <w:t xml:space="preserve">1. Where induction sits</w:t>
      </w:r>
    </w:p>
    <w:p>
      <w:pPr>
        <w:spacing w:after="140" w:before="0" w:line="300"/>
      </w:pPr>
      <w:r>
        <w:rPr>
          <w:sz w:val="22"/>
          <w:szCs w:val="22"/>
        </w:rPr>
        <w:t xml:space="preserve">Three layers, and it is worth being clear which one you are in. Amala trains you. You induct the facilitators. The facilitators deliver to learners. Amala does not train facilitators directly and is not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Layer</w:t>
            </w:r>
          </w:p>
        </w:tc>
        <w:tc>
          <w:tcPr>
            <w:tcW w:type="dxa" w:w="6382"/>
            <w:tcMar>
              <w:top w:type="dxa" w:w="70"/>
              <w:left w:type="dxa" w:w="130"/>
              <w:bottom w:type="dxa" w:w="70"/>
              <w:right w:type="dxa" w:w="130"/>
            </w:tcMar>
          </w:tcPr>
          <w:p>
            <w:pPr>
              <w:spacing w:line="260"/>
            </w:pPr>
            <w:r>
              <w:rPr>
                <w:b/>
                <w:bCs/>
                <w:color w:val="1F3A5F"/>
                <w:sz w:val="19"/>
                <w:szCs w:val="19"/>
              </w:rPr>
              <w:t xml:space="preserve">Who does it</w:t>
            </w:r>
          </w:p>
        </w:tc>
      </w:tr>
      <w:tr>
        <w:tc>
          <w:tcPr>
            <w:tcW w:type="dxa" w:w="2687"/>
            <w:tcMar>
              <w:top w:type="dxa" w:w="70"/>
              <w:left w:type="dxa" w:w="130"/>
              <w:bottom w:type="dxa" w:w="70"/>
              <w:right w:type="dxa" w:w="130"/>
            </w:tcMar>
          </w:tcPr>
          <w:p>
            <w:pPr>
              <w:spacing w:line="260"/>
            </w:pPr>
            <w:r>
              <w:rPr>
                <w:b/>
                <w:bCs/>
                <w:color w:val="7A3B69"/>
                <w:sz w:val="19"/>
                <w:szCs w:val="19"/>
              </w:rPr>
              <w:t xml:space="preserve">Training the trainers</w:t>
            </w:r>
          </w:p>
        </w:tc>
        <w:tc>
          <w:tcPr>
            <w:tcW w:type="dxa" w:w="6382"/>
            <w:tcMar>
              <w:top w:type="dxa" w:w="70"/>
              <w:left w:type="dxa" w:w="130"/>
              <w:bottom w:type="dxa" w:w="70"/>
              <w:right w:type="dxa" w:w="130"/>
            </w:tcMar>
          </w:tcPr>
          <w:p>
            <w:pPr>
              <w:spacing w:line="260"/>
            </w:pPr>
            <w:r>
              <w:rPr>
                <w:b w:val="false"/>
                <w:bCs w:val="false"/>
                <w:sz w:val="19"/>
                <w:szCs w:val="19"/>
              </w:rPr>
              <w:t xml:space="preserve">Amala, remotely - the workshop where you planned the induction you own.</w:t>
            </w:r>
          </w:p>
        </w:tc>
      </w:tr>
      <w:tr>
        <w:tc>
          <w:tcPr>
            <w:tcW w:type="dxa" w:w="2687"/>
            <w:tcMar>
              <w:top w:type="dxa" w:w="70"/>
              <w:left w:type="dxa" w:w="130"/>
              <w:bottom w:type="dxa" w:w="70"/>
              <w:right w:type="dxa" w:w="130"/>
            </w:tcMar>
          </w:tcPr>
          <w:p>
            <w:pPr>
              <w:spacing w:line="260"/>
            </w:pPr>
            <w:r>
              <w:rPr>
                <w:b/>
                <w:bCs/>
                <w:color w:val="7A3B69"/>
                <w:sz w:val="19"/>
                <w:szCs w:val="19"/>
              </w:rPr>
              <w:t xml:space="preserve">Inducting the facilitators</w:t>
            </w:r>
          </w:p>
        </w:tc>
        <w:tc>
          <w:tcPr>
            <w:tcW w:type="dxa" w:w="6382"/>
            <w:tcMar>
              <w:top w:type="dxa" w:w="70"/>
              <w:left w:type="dxa" w:w="130"/>
              <w:bottom w:type="dxa" w:w="70"/>
              <w:right w:type="dxa" w:w="130"/>
            </w:tcMar>
          </w:tcPr>
          <w:p>
            <w:pPr>
              <w:spacing w:line="260"/>
            </w:pPr>
            <w:r>
              <w:rPr>
                <w:b w:val="false"/>
                <w:bCs w:val="false"/>
                <w:sz w:val="19"/>
                <w:szCs w:val="19"/>
              </w:rPr>
              <w:t xml:space="preserve">You. This guide.</w:t>
            </w:r>
          </w:p>
        </w:tc>
      </w:tr>
      <w:tr>
        <w:tc>
          <w:tcPr>
            <w:tcW w:type="dxa" w:w="2687"/>
            <w:tcMar>
              <w:top w:type="dxa" w:w="70"/>
              <w:left w:type="dxa" w:w="130"/>
              <w:bottom w:type="dxa" w:w="70"/>
              <w:right w:type="dxa" w:w="130"/>
            </w:tcMar>
          </w:tcPr>
          <w:p>
            <w:pPr>
              <w:spacing w:line="260"/>
            </w:pPr>
            <w:r>
              <w:rPr>
                <w:b/>
                <w:bCs/>
                <w:color w:val="7A3B69"/>
                <w:sz w:val="19"/>
                <w:szCs w:val="19"/>
              </w:rPr>
              <w:t xml:space="preserve">Delivering the programme</w:t>
            </w:r>
          </w:p>
        </w:tc>
        <w:tc>
          <w:tcPr>
            <w:tcW w:type="dxa" w:w="6382"/>
            <w:tcMar>
              <w:top w:type="dxa" w:w="70"/>
              <w:left w:type="dxa" w:w="130"/>
              <w:bottom w:type="dxa" w:w="70"/>
              <w:right w:type="dxa" w:w="130"/>
            </w:tcMar>
          </w:tcPr>
          <w:p>
            <w:pPr>
              <w:spacing w:line="260"/>
            </w:pPr>
            <w:r>
              <w:rPr>
                <w:b w:val="false"/>
                <w:bCs w:val="false"/>
                <w:sz w:val="19"/>
                <w:szCs w:val="19"/>
              </w:rPr>
              <w:t xml:space="preserve">The facilitators, from the Educator Guide.</w:t>
            </w:r>
          </w:p>
        </w:tc>
      </w:tr>
    </w:tbl>
    <w:p>
      <w:pPr>
        <w:spacing w:after="140" w:before="0" w:line="300"/>
      </w:pPr>
      <w:r>
        <w:rPr>
          <w:sz w:val="22"/>
          <w:szCs w:val="22"/>
        </w:rPr>
        <w:t xml:space="preserve">A facilitator is ready to deliver Learning Bridge+ in Cox's Bazar when they hold the training modules below and have completed the programme inductions. The modules are portable: an educator who holds Being a mentor holds it wherever they go next. The inductions are specific to this programme and this context, and do not transfer.</w:t>
      </w:r>
    </w:p>
    <w:p>
      <w:pPr>
        <w:pStyle w:val="Heading2"/>
        <w:keepNext/>
        <w:spacing w:after="100" w:before="280"/>
      </w:pPr>
      <w:r>
        <w:rPr>
          <w:b/>
          <w:bCs/>
          <w:color w:val="7A3B69"/>
          <w:sz w:val="28"/>
          <w:szCs w:val="28"/>
        </w:rPr>
        <w:t xml:space="preserve">Induction is short on purpose</w:t>
      </w:r>
    </w:p>
    <w:p>
      <w:pPr>
        <w:spacing w:after="140" w:before="0" w:line="300"/>
      </w:pPr>
      <w:r>
        <w:rPr>
          <w:sz w:val="22"/>
          <w:szCs w:val="22"/>
        </w:rPr>
        <w:t xml:space="preserve">There are two inductions, about seven hours in total. That is deliberate, and it only works because most of what a facilitator needs is carried somewhere else.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What</w:t>
            </w:r>
          </w:p>
        </w:tc>
        <w:tc>
          <w:tcPr>
            <w:tcW w:type="dxa" w:w="6382"/>
            <w:tcMar>
              <w:top w:type="dxa" w:w="70"/>
              <w:left w:type="dxa" w:w="130"/>
              <w:bottom w:type="dxa" w:w="70"/>
              <w:right w:type="dxa" w:w="130"/>
            </w:tcMar>
          </w:tcPr>
          <w:p>
            <w:pPr>
              <w:spacing w:line="260"/>
            </w:pPr>
            <w:r>
              <w:rPr>
                <w:b/>
                <w:bCs/>
                <w:color w:val="1F3A5F"/>
                <w:sz w:val="19"/>
                <w:szCs w:val="19"/>
              </w:rPr>
              <w:t xml:space="preserve">Where it is carried</w:t>
            </w:r>
          </w:p>
        </w:tc>
      </w:tr>
      <w:tr>
        <w:tc>
          <w:tcPr>
            <w:tcW w:type="dxa" w:w="2687"/>
            <w:tcMar>
              <w:top w:type="dxa" w:w="70"/>
              <w:left w:type="dxa" w:w="130"/>
              <w:bottom w:type="dxa" w:w="70"/>
              <w:right w:type="dxa" w:w="130"/>
            </w:tcMar>
          </w:tcPr>
          <w:p>
            <w:pPr>
              <w:spacing w:line="260"/>
            </w:pPr>
            <w:r>
              <w:rPr>
                <w:b/>
                <w:bCs/>
                <w:color w:val="7A3B69"/>
                <w:sz w:val="19"/>
                <w:szCs w:val="19"/>
              </w:rPr>
              <w:t xml:space="preserve">The craft - facilitating, mentoring, assessing</w:t>
            </w:r>
          </w:p>
        </w:tc>
        <w:tc>
          <w:tcPr>
            <w:tcW w:type="dxa" w:w="6382"/>
            <w:tcMar>
              <w:top w:type="dxa" w:w="70"/>
              <w:left w:type="dxa" w:w="130"/>
              <w:bottom w:type="dxa" w:w="70"/>
              <w:right w:type="dxa" w:w="130"/>
            </w:tcMar>
          </w:tcPr>
          <w:p>
            <w:pPr>
              <w:spacing w:line="260"/>
            </w:pPr>
            <w:r>
              <w:rPr>
                <w:b w:val="false"/>
                <w:bCs w:val="false"/>
                <w:sz w:val="19"/>
                <w:szCs w:val="19"/>
              </w:rPr>
              <w:t xml:space="preserve">The portable training modules below. A facilitator holds these BEFORE induction. They transfer: an educator who holds Being a mentor holds it wherever they go next.</w:t>
            </w:r>
          </w:p>
        </w:tc>
      </w:tr>
      <w:tr>
        <w:tc>
          <w:tcPr>
            <w:tcW w:type="dxa" w:w="2687"/>
            <w:tcMar>
              <w:top w:type="dxa" w:w="70"/>
              <w:left w:type="dxa" w:w="130"/>
              <w:bottom w:type="dxa" w:w="70"/>
              <w:right w:type="dxa" w:w="130"/>
            </w:tcMar>
          </w:tcPr>
          <w:p>
            <w:pPr>
              <w:spacing w:line="260"/>
            </w:pPr>
            <w:r>
              <w:rPr>
                <w:b/>
                <w:bCs/>
                <w:color w:val="7A3B69"/>
                <w:sz w:val="19"/>
                <w:szCs w:val="19"/>
              </w:rPr>
              <w:t xml:space="preserve">The component detail - what to teach, in what order</w:t>
            </w:r>
          </w:p>
        </w:tc>
        <w:tc>
          <w:tcPr>
            <w:tcW w:type="dxa" w:w="6382"/>
            <w:tcMar>
              <w:top w:type="dxa" w:w="70"/>
              <w:left w:type="dxa" w:w="130"/>
              <w:bottom w:type="dxa" w:w="70"/>
              <w:right w:type="dxa" w:w="130"/>
            </w:tcMar>
          </w:tcPr>
          <w:p>
            <w:pPr>
              <w:spacing w:line="260"/>
            </w:pPr>
            <w:r>
              <w:rPr>
                <w:b w:val="false"/>
                <w:bCs w:val="false"/>
                <w:sz w:val="19"/>
                <w:szCs w:val="19"/>
              </w:rPr>
              <w:t xml:space="preserve">The Educator Guide. It is a complete manual, not a summary, and induction teaches them to use it rather than replacing it.</w:t>
            </w:r>
          </w:p>
        </w:tc>
      </w:tr>
      <w:tr>
        <w:tc>
          <w:tcPr>
            <w:tcW w:type="dxa" w:w="2687"/>
            <w:tcMar>
              <w:top w:type="dxa" w:w="70"/>
              <w:left w:type="dxa" w:w="130"/>
              <w:bottom w:type="dxa" w:w="70"/>
              <w:right w:type="dxa" w:w="130"/>
            </w:tcMar>
          </w:tcPr>
          <w:p>
            <w:pPr>
              <w:spacing w:line="260"/>
            </w:pPr>
            <w:r>
              <w:rPr>
                <w:b/>
                <w:bCs/>
                <w:color w:val="7A3B69"/>
                <w:sz w:val="19"/>
                <w:szCs w:val="19"/>
              </w:rPr>
              <w:t xml:space="preserve">NRC’s Code of Conduct, and the camp MHPSS and protection referral pathway</w:t>
            </w:r>
          </w:p>
        </w:tc>
        <w:tc>
          <w:tcPr>
            <w:tcW w:type="dxa" w:w="6382"/>
            <w:tcMar>
              <w:top w:type="dxa" w:w="70"/>
              <w:left w:type="dxa" w:w="130"/>
              <w:bottom w:type="dxa" w:w="70"/>
              <w:right w:type="dxa" w:w="130"/>
            </w:tcMar>
          </w:tcPr>
          <w:p>
            <w:pPr>
              <w:spacing w:line="260"/>
            </w:pPr>
            <w:r>
              <w:rPr>
                <w:b w:val="false"/>
                <w:bCs w:val="false"/>
                <w:sz w:val="19"/>
                <w:szCs w:val="19"/>
              </w:rPr>
              <w:t xml:space="preserve">The coordinator, made concrete at each site. NOT you, and not this guide - the pathway is site-specific and has to carry real names and real numbers.</w:t>
            </w:r>
          </w:p>
        </w:tc>
      </w:tr>
      <w:tr>
        <w:tc>
          <w:tcPr>
            <w:tcW w:type="dxa" w:w="2687"/>
            <w:tcMar>
              <w:top w:type="dxa" w:w="70"/>
              <w:left w:type="dxa" w:w="130"/>
              <w:bottom w:type="dxa" w:w="70"/>
              <w:right w:type="dxa" w:w="130"/>
            </w:tcMar>
          </w:tcPr>
          <w:p>
            <w:pPr>
              <w:spacing w:line="260"/>
            </w:pPr>
            <w:r>
              <w:rPr>
                <w:b/>
                <w:bCs/>
                <w:color w:val="7A3B69"/>
                <w:sz w:val="19"/>
                <w:szCs w:val="19"/>
              </w:rPr>
              <w:t xml:space="preserve">What does not transfer - this programme, in this context</w:t>
            </w:r>
          </w:p>
        </w:tc>
        <w:tc>
          <w:tcPr>
            <w:tcW w:type="dxa" w:w="6382"/>
            <w:tcMar>
              <w:top w:type="dxa" w:w="70"/>
              <w:left w:type="dxa" w:w="130"/>
              <w:bottom w:type="dxa" w:w="70"/>
              <w:right w:type="dxa" w:w="130"/>
            </w:tcMar>
          </w:tcPr>
          <w:p>
            <w:pPr>
              <w:spacing w:line="260"/>
            </w:pPr>
            <w:r>
              <w:rPr>
                <w:b w:val="false"/>
                <w:bCs w:val="false"/>
                <w:sz w:val="19"/>
                <w:szCs w:val="19"/>
              </w:rPr>
              <w:t xml:space="preserve">Induction. That is all it is for.</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CHECK THIS BEFORE YOU PLAN A DATE</w:t>
            </w:r>
          </w:p>
          <w:p>
            <w:pPr>
              <w:spacing w:after="90" w:before="0" w:line="300"/>
            </w:pPr>
            <w:r>
              <w:rPr>
                <w:sz w:val="21"/>
                <w:szCs w:val="21"/>
              </w:rPr>
              <w:t xml:space="preserve">Facilitators hold the required training modules already. Induction assumes it, and does not teach the craft.</w:t>
            </w:r>
          </w:p>
          <w:p>
            <w:pPr>
              <w:spacing w:after="90" w:before="0" w:line="300"/>
            </w:pPr>
            <w:r>
              <w:rPr>
                <w:sz w:val="21"/>
                <w:szCs w:val="21"/>
              </w:rPr>
              <w:t xml:space="preserve">The coordinator has made the safeguarding and referral pathway concrete at this site. A generic diagram is worse than nothing, because it will be believed.</w:t>
            </w:r>
          </w:p>
          <w:p>
            <w:pPr>
              <w:spacing w:after="0" w:before="0" w:line="300"/>
            </w:pPr>
            <w:r>
              <w:rPr>
                <w:sz w:val="21"/>
                <w:szCs w:val="21"/>
              </w:rPr>
              <w:t xml:space="preserve">You have enough printed Educator Guides for everyone to hold one, and to keep it.</w:t>
            </w:r>
          </w:p>
        </w:tc>
      </w:tr>
    </w:tbl>
    <w:p>
      <w:pPr>
        <w:pStyle w:val="Heading2"/>
        <w:keepNext/>
        <w:spacing w:after="100" w:before="280"/>
      </w:pPr>
      <w:r>
        <w:rPr>
          <w:b/>
          <w:bCs/>
          <w:color w:val="7A3B69"/>
          <w:sz w:val="28"/>
          <w:szCs w:val="28"/>
        </w:rPr>
        <w:t xml:space="preserve">What a facilitator holds before induction</w:t>
      </w:r>
    </w:p>
    <w:p>
      <w:pPr>
        <w:spacing w:after="140" w:before="0" w:line="300"/>
      </w:pPr>
      <w:r>
        <w:rPr>
          <w:sz w:val="22"/>
          <w:szCs w:val="22"/>
        </w:rPr>
        <w:t xml:space="preserve">These are portable training modules, held before induction begins. If someone does not hold them, induction is not the place to fix it - tell the coordinator.</w:t>
      </w:r>
    </w:p>
    <w:p>
      <w:pPr>
        <w:pStyle w:val="ListParagraph"/>
        <w:numPr>
          <w:ilvl w:val="0"/>
          <w:numId w:val="1"/>
        </w:numPr>
        <w:spacing w:after="80" w:line="300"/>
      </w:pPr>
      <w:r>
        <w:rPr>
          <w:sz w:val="22"/>
          <w:szCs w:val="22"/>
        </w:rPr>
        <w:t xml:space="preserve">Introduction to Amala's transformative education model</w:t>
      </w:r>
    </w:p>
    <w:p>
      <w:pPr>
        <w:pStyle w:val="ListParagraph"/>
        <w:numPr>
          <w:ilvl w:val="0"/>
          <w:numId w:val="1"/>
        </w:numPr>
        <w:spacing w:after="80" w:line="300"/>
      </w:pPr>
      <w:r>
        <w:rPr>
          <w:sz w:val="22"/>
          <w:szCs w:val="22"/>
        </w:rPr>
        <w:t xml:space="preserve">Safeguarding</w:t>
      </w:r>
    </w:p>
    <w:p>
      <w:pPr>
        <w:pStyle w:val="ListParagraph"/>
        <w:numPr>
          <w:ilvl w:val="0"/>
          <w:numId w:val="1"/>
        </w:numPr>
        <w:spacing w:after="80" w:line="300"/>
      </w:pPr>
      <w:r>
        <w:rPr>
          <w:sz w:val="22"/>
          <w:szCs w:val="22"/>
        </w:rPr>
        <w:t xml:space="preserve">Designing and facilitating group-based learning</w:t>
      </w:r>
    </w:p>
    <w:p>
      <w:pPr>
        <w:pStyle w:val="ListParagraph"/>
        <w:numPr>
          <w:ilvl w:val="0"/>
          <w:numId w:val="1"/>
        </w:numPr>
        <w:spacing w:after="80" w:line="300"/>
      </w:pPr>
      <w:r>
        <w:rPr>
          <w:sz w:val="22"/>
          <w:szCs w:val="22"/>
        </w:rPr>
        <w:t xml:space="preserve">Being a mentor</w:t>
      </w:r>
    </w:p>
    <w:p>
      <w:pPr>
        <w:pStyle w:val="ListParagraph"/>
        <w:numPr>
          <w:ilvl w:val="0"/>
          <w:numId w:val="1"/>
        </w:numPr>
        <w:spacing w:after="80" w:line="300"/>
      </w:pPr>
      <w:r>
        <w:rPr>
          <w:sz w:val="22"/>
          <w:szCs w:val="22"/>
        </w:rPr>
        <w:t xml:space="preserve">Teaching English as a second language</w:t>
      </w:r>
    </w:p>
    <w:p>
      <w:pPr>
        <w:pStyle w:val="ListParagraph"/>
        <w:numPr>
          <w:ilvl w:val="0"/>
          <w:numId w:val="1"/>
        </w:numPr>
        <w:spacing w:after="80" w:line="300"/>
      </w:pPr>
      <w:r>
        <w:rPr>
          <w:sz w:val="22"/>
          <w:szCs w:val="22"/>
        </w:rPr>
        <w:t xml:space="preserve">Conducting assessments of competence</w:t>
      </w:r>
    </w:p>
    <w:p>
      <w:r>
        <w:br w:type="page"/>
      </w:r>
    </w:p>
    <w:p>
      <w:pPr>
        <w:pStyle w:val="Heading1"/>
        <w:keepNext/>
        <w:spacing w:after="140" w:before="320"/>
      </w:pPr>
      <w:r>
        <w:rPr>
          <w:b/>
          <w:bCs/>
          <w:color w:val="1F3A5F"/>
          <w:sz w:val="36"/>
          <w:szCs w:val="36"/>
        </w:rPr>
        <w:t xml:space="preserve">2. The two inductions</w:t>
      </w:r>
    </w:p>
    <w:p>
      <w:pPr>
        <w:spacing w:after="140" w:before="0" w:line="300"/>
      </w:pPr>
      <w:r>
        <w:rPr>
          <w:sz w:val="22"/>
          <w:szCs w:val="22"/>
        </w:rPr>
        <w:t xml:space="preserve">Two inductions, delivered by NRC's master educators, who are qualified to train through Amala's train-the-trainer module. Each has one named owner planning it. They are deliberately short: the craft of facilitating, mentoring and assessing is carried by the portable modules above, which a facilitator holds before induction begins, and the Educator Guide carries the component detail - so induction covers only what does not transfer. Two things sit outside it and belong to the coordinator: NRC's Code of Conduct, and the camp MHPSS and protection referral pathway, made concrete at each site before any facilitator takes a mentoring caseload.</w:t>
      </w:r>
    </w:p>
    <w:p>
      <w:pPr>
        <w:spacing w:after="140" w:before="0" w:line="300"/>
      </w:pPr>
      <w:r>
        <w:rPr>
          <w:sz w:val="22"/>
          <w:szCs w:val="22"/>
        </w:rPr>
        <w:t xml:space="preserve">For each one: what it is for, what a facilitator can do afterwards, a shape for the hours, and the way it usually goes wrong. The shape is a starting point - you planned this, and you may know your facilitators better than the shape does. What is not negotiable is the list of things a facilitator can do at the end.</w:t>
      </w:r>
    </w:p>
    <w:p>
      <w:pPr>
        <w:pStyle w:val="Heading2"/>
        <w:keepNext/>
        <w:spacing w:after="100" w:before="280"/>
      </w:pPr>
      <w:r>
        <w:rPr>
          <w:b/>
          <w:bCs/>
          <w:color w:val="7A3B69"/>
          <w:sz w:val="28"/>
          <w:szCs w:val="28"/>
        </w:rPr>
        <w:t xml:space="preserve">IND-1  The programme, your three roles, and the Educator Guide</w:t>
      </w:r>
    </w:p>
    <w:p>
      <w:pPr>
        <w:spacing w:after="80" w:before="0" w:line="300"/>
      </w:pPr>
      <w:r>
        <w:rPr>
          <w:b/>
          <w:bCs/>
          <w:color w:val="6E7A2E"/>
          <w:sz w:val="19"/>
          <w:szCs w:val="19"/>
        </w:rPr>
        <w:t xml:space="preserve">SUGGESTED LENGTH: 3-4 hrs   ·   YOU WORK FROM: The Educator Guide, all nine parts - read in the room, not beforehand</w:t>
      </w:r>
    </w:p>
    <w:p>
      <w:pPr>
        <w:spacing w:after="60" w:before="0" w:line="300"/>
      </w:pPr>
      <w:r>
        <w:rPr>
          <w:color w:val="1F3A5F"/>
          <w:sz w:val="23"/>
          <w:szCs w:val="23"/>
        </w:rPr>
        <w:t xml:space="preserve">A facilitator can say what Learning Bridge+ is for, name what it is ultimately building, run the weekly rhythm without asking anyone, and find anything they need in the Educator Guide.</w:t>
      </w:r>
    </w:p>
    <w:p>
      <w:pPr>
        <w:spacing w:after="140" w:before="0" w:line="300"/>
      </w:pPr>
      <w:r>
        <w:rPr>
          <w:sz w:val="22"/>
          <w:szCs w:val="22"/>
        </w:rPr>
        <w:t xml:space="preserve">What the programme is for, the agency thread, the four components, the two assessed competencies, and the weekly rhythm - 3 hours in person plus 2 independent, across at least 10 weeks. Then the Educator Guide itself: what is in each of its nine parts, protected time to read it, and the questions that come out of reading it.</w:t>
      </w:r>
    </w:p>
    <w:p>
      <w:pPr>
        <w:keepNext/>
        <w:spacing w:after="60" w:before="180"/>
      </w:pPr>
      <w:r>
        <w:rPr>
          <w:b/>
          <w:bCs/>
          <w:color w:val="6E7A2E"/>
          <w:spacing w:val="24"/>
          <w:sz w:val="17"/>
          <w:szCs w:val="17"/>
        </w:rPr>
        <w:t xml:space="preserve">AFTER THIS INDUCTION, A FACILITATOR CAN</w:t>
      </w:r>
    </w:p>
    <w:p>
      <w:pPr>
        <w:pStyle w:val="ListParagraph"/>
        <w:numPr>
          <w:ilvl w:val="0"/>
          <w:numId w:val="1"/>
        </w:numPr>
        <w:spacing w:after="80" w:line="300"/>
      </w:pPr>
      <w:r>
        <w:rPr>
          <w:sz w:val="22"/>
          <w:szCs w:val="22"/>
        </w:rPr>
        <w:t xml:space="preserve">Say what the programme is for in their own words - a young person leaves with more agency than they came with - and name the four components.</w:t>
      </w:r>
    </w:p>
    <w:p>
      <w:pPr>
        <w:pStyle w:val="ListParagraph"/>
        <w:numPr>
          <w:ilvl w:val="0"/>
          <w:numId w:val="1"/>
        </w:numPr>
        <w:spacing w:after="80" w:line="300"/>
      </w:pPr>
      <w:r>
        <w:rPr>
          <w:sz w:val="22"/>
          <w:szCs w:val="22"/>
        </w:rPr>
        <w:t xml:space="preserve">Name the two formally assessed competencies: Set and Pursue Goals, and Investigate Real World Issues.</w:t>
      </w:r>
    </w:p>
    <w:p>
      <w:pPr>
        <w:pStyle w:val="ListParagraph"/>
        <w:numPr>
          <w:ilvl w:val="0"/>
          <w:numId w:val="1"/>
        </w:numPr>
        <w:spacing w:after="80" w:line="300"/>
      </w:pPr>
      <w:r>
        <w:rPr>
          <w:sz w:val="22"/>
          <w:szCs w:val="22"/>
        </w:rPr>
        <w:t xml:space="preserve">Describe the week: 3 hours in person plus 2 independent, across a minimum of 10 weeks, with mentoring folded into the in-person time.</w:t>
      </w:r>
    </w:p>
    <w:p>
      <w:pPr>
        <w:pStyle w:val="ListParagraph"/>
        <w:numPr>
          <w:ilvl w:val="0"/>
          <w:numId w:val="1"/>
        </w:numPr>
        <w:spacing w:after="80" w:line="300"/>
      </w:pPr>
      <w:r>
        <w:rPr>
          <w:sz w:val="22"/>
          <w:szCs w:val="22"/>
        </w:rPr>
        <w:t xml:space="preserve">Say what is in each of the nine parts of the Educator Guide, and find anything in it inside a minute.</w:t>
      </w:r>
    </w:p>
    <w:p>
      <w:pPr>
        <w:pStyle w:val="ListParagraph"/>
        <w:numPr>
          <w:ilvl w:val="0"/>
          <w:numId w:val="1"/>
        </w:numPr>
        <w:spacing w:after="80" w:line="300"/>
      </w:pPr>
      <w:r>
        <w:rPr>
          <w:sz w:val="22"/>
          <w:szCs w:val="22"/>
        </w:rPr>
        <w:t xml:space="preserve">Run a block straight from the facilitator unit plan, using only what is printed.</w:t>
      </w:r>
    </w:p>
    <w:p>
      <w:pPr>
        <w:pStyle w:val="ListParagraph"/>
        <w:numPr>
          <w:ilvl w:val="0"/>
          <w:numId w:val="1"/>
        </w:numPr>
        <w:spacing w:after="80" w:line="300"/>
      </w:pPr>
      <w:r>
        <w:rPr>
          <w:sz w:val="22"/>
          <w:szCs w:val="22"/>
        </w:rPr>
        <w:t xml:space="preserve">Use the learner book by sheet number - the plan points into it that way.</w:t>
      </w:r>
    </w:p>
    <w:p>
      <w:pPr>
        <w:pStyle w:val="ListParagraph"/>
        <w:numPr>
          <w:ilvl w:val="0"/>
          <w:numId w:val="1"/>
        </w:numPr>
        <w:spacing w:after="80" w:line="300"/>
      </w:pPr>
      <w:r>
        <w:rPr>
          <w:sz w:val="22"/>
          <w:szCs w:val="22"/>
        </w:rPr>
        <w:t xml:space="preserve">Say what NRC does and what Amala does, including what moderation is and when it happens.</w:t>
      </w:r>
    </w:p>
    <w:p>
      <w:pPr>
        <w:keepNext/>
        <w:spacing w:after="60" w:before="180"/>
      </w:pPr>
      <w:r>
        <w:rPr>
          <w:b/>
          <w:bCs/>
          <w:color w:val="6E7A2E"/>
          <w:spacing w:val="24"/>
          <w:sz w:val="17"/>
          <w:szCs w:val="17"/>
        </w:rPr>
        <w:t xml:space="preserve">A SHAPE FOR THE HOURS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259"/>
        <w:gridCol w:w="7810"/>
      </w:tblGrid>
      <w:tr>
        <w:trPr>
          <w:tblHeader/>
        </w:trPr>
        <w:tc>
          <w:tcPr>
            <w:tcW w:type="dxa" w:w="1259"/>
            <w:tcMar>
              <w:top w:type="dxa" w:w="70"/>
              <w:left w:type="dxa" w:w="130"/>
              <w:bottom w:type="dxa" w:w="70"/>
              <w:right w:type="dxa" w:w="130"/>
            </w:tcMar>
          </w:tcPr>
          <w:p>
            <w:pPr>
              <w:spacing w:line="260"/>
            </w:pPr>
            <w:r>
              <w:rPr>
                <w:b/>
                <w:bCs/>
                <w:color w:val="1F3A5F"/>
                <w:sz w:val="19"/>
                <w:szCs w:val="19"/>
              </w:rPr>
              <w:t xml:space="preserve">Time</w:t>
            </w:r>
          </w:p>
        </w:tc>
        <w:tc>
          <w:tcPr>
            <w:tcW w:type="dxa" w:w="7810"/>
            <w:tcMar>
              <w:top w:type="dxa" w:w="70"/>
              <w:left w:type="dxa" w:w="130"/>
              <w:bottom w:type="dxa" w:w="70"/>
              <w:right w:type="dxa" w:w="130"/>
            </w:tcMar>
          </w:tcPr>
          <w:p>
            <w:pPr>
              <w:spacing w:line="260"/>
            </w:pPr>
            <w:r>
              <w:rPr>
                <w:b/>
                <w:bCs/>
                <w:color w:val="1F3A5F"/>
                <w:sz w:val="19"/>
                <w:szCs w:val="19"/>
              </w:rPr>
              <w:t xml:space="preserve">What happens</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What the programme is for. The agency thread, in your own words, not read off the page - a young person leaves with more agency than they came with. Then the four components and the two assessed competencies. End by asking each facilitator to say it back in one sentence.</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The three roles. Facilitate, mentor, assess - the same person doing all three, all the way through. Draw out that mentoring adds no hours: it runs inside the in-person time they already have.</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The week. Three learning days, three hours each, one hour per component, about two hours at home between days. Put the week-by-week map in front of them and walk one real week of it.</w:t>
            </w:r>
          </w:p>
        </w:tc>
      </w:tr>
      <w:tr>
        <w:tc>
          <w:tcPr>
            <w:tcW w:type="dxa" w:w="1259"/>
            <w:tcMar>
              <w:top w:type="dxa" w:w="70"/>
              <w:left w:type="dxa" w:w="130"/>
              <w:bottom w:type="dxa" w:w="70"/>
              <w:right w:type="dxa" w:w="130"/>
            </w:tcMar>
          </w:tcPr>
          <w:p>
            <w:pPr>
              <w:spacing w:line="260"/>
            </w:pPr>
            <w:r>
              <w:rPr>
                <w:b/>
                <w:bCs/>
                <w:color w:val="7A3B69"/>
                <w:sz w:val="19"/>
                <w:szCs w:val="19"/>
              </w:rPr>
              <w:t xml:space="preserve">45 min</w:t>
            </w:r>
          </w:p>
        </w:tc>
        <w:tc>
          <w:tcPr>
            <w:tcW w:type="dxa" w:w="7810"/>
            <w:tcMar>
              <w:top w:type="dxa" w:w="70"/>
              <w:left w:type="dxa" w:w="130"/>
              <w:bottom w:type="dxa" w:w="70"/>
              <w:right w:type="dxa" w:w="130"/>
            </w:tcMar>
          </w:tcPr>
          <w:p>
            <w:pPr>
              <w:spacing w:line="260"/>
            </w:pPr>
            <w:r>
              <w:rPr>
                <w:b w:val="false"/>
                <w:bCs w:val="false"/>
                <w:sz w:val="19"/>
                <w:szCs w:val="19"/>
              </w:rPr>
              <w:t xml:space="preserve">THE READING. Hand out the Educator Guide and give them the clock. Nine parts: what is in each one. Then protected, silent reading time - at least half an hour of it - with a task: find the block you would teach on your first Monday, and read it properly. This is the block people cut when they run late. Do not cut it.</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Questions, and finding things. Take every question the reading produced. Then set a find-it round: name a thing, they race to the page. "Where is the mentor record?" "Where are the picture cards?" "Where does the plan tell you which sheet number?" They should be finding anything inside a minute by the end.</w:t>
            </w:r>
          </w:p>
        </w:tc>
      </w:tr>
      <w:tr>
        <w:tc>
          <w:tcPr>
            <w:tcW w:type="dxa" w:w="1259"/>
            <w:tcMar>
              <w:top w:type="dxa" w:w="70"/>
              <w:left w:type="dxa" w:w="130"/>
              <w:bottom w:type="dxa" w:w="70"/>
              <w:right w:type="dxa" w:w="130"/>
            </w:tcMar>
          </w:tcPr>
          <w:p>
            <w:pPr>
              <w:spacing w:line="260"/>
            </w:pPr>
            <w:r>
              <w:rPr>
                <w:b/>
                <w:bCs/>
                <w:color w:val="7A3B69"/>
                <w:sz w:val="19"/>
                <w:szCs w:val="19"/>
              </w:rPr>
              <w:t xml:space="preserve">40 min</w:t>
            </w:r>
          </w:p>
        </w:tc>
        <w:tc>
          <w:tcPr>
            <w:tcW w:type="dxa" w:w="7810"/>
            <w:tcMar>
              <w:top w:type="dxa" w:w="70"/>
              <w:left w:type="dxa" w:w="130"/>
              <w:bottom w:type="dxa" w:w="70"/>
              <w:right w:type="dxa" w:w="130"/>
            </w:tcMar>
          </w:tcPr>
          <w:p>
            <w:pPr>
              <w:spacing w:line="260"/>
            </w:pPr>
            <w:r>
              <w:rPr>
                <w:b w:val="false"/>
                <w:bCs w:val="false"/>
                <w:sz w:val="19"/>
                <w:szCs w:val="19"/>
              </w:rPr>
              <w:t xml:space="preserve">Run a block on each other. In pairs, from the printed unit plan only, ten minutes each, then swap. Badly is fine. Then do one again, better. This is what makes the rest of it stick.</w:t>
            </w:r>
          </w:p>
        </w:tc>
      </w:tr>
    </w:tbl>
    <w:p>
      <w:pPr>
        <w:spacing w:after="140" w:before="100" w:line="300"/>
      </w:pPr>
      <w:r>
        <w:rPr>
          <w:b/>
          <w:bCs/>
          <w:color w:val="6E7A2E"/>
          <w:sz w:val="21"/>
          <w:szCs w:val="21"/>
        </w:rPr>
        <w:t xml:space="preserve">They leave holding the Educator Guide, having read part of it, having taught from it once, and able to find anything in it.</w:t>
      </w:r>
    </w:p>
    <w:p>
      <w:pPr>
        <w:keepNext/>
        <w:spacing w:after="60" w:before="180"/>
      </w:pPr>
      <w:r>
        <w:rPr>
          <w:b/>
          <w:bCs/>
          <w:color w:val="6E7A2E"/>
          <w:spacing w:val="24"/>
          <w:sz w:val="17"/>
          <w:szCs w:val="17"/>
        </w:rPr>
        <w:t xml:space="preserve">WHAT IT DRAWS ON</w:t>
      </w:r>
    </w:p>
    <w:p>
      <w:pPr>
        <w:pStyle w:val="ListParagraph"/>
        <w:numPr>
          <w:ilvl w:val="0"/>
          <w:numId w:val="1"/>
        </w:numPr>
        <w:spacing w:after="80" w:line="300"/>
      </w:pPr>
      <w:r>
        <w:rPr>
          <w:sz w:val="22"/>
          <w:szCs w:val="22"/>
        </w:rPr>
        <w:t xml:space="preserve">The Educator Guide - Part 1 for the agency thread and the three roles, Parts 4-6 for the unit plans, Parts 7-8 for the learner books and cards</w:t>
      </w:r>
    </w:p>
    <w:p>
      <w:pPr>
        <w:pStyle w:val="ListParagraph"/>
        <w:numPr>
          <w:ilvl w:val="0"/>
          <w:numId w:val="1"/>
        </w:numPr>
        <w:spacing w:after="80" w:line="300"/>
      </w:pPr>
      <w:r>
        <w:rPr>
          <w:sz w:val="22"/>
          <w:szCs w:val="22"/>
        </w:rPr>
        <w:t xml:space="preserve">The programme page on the Amala site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The easy version of this is a briefing about Amala, followed by "read the guide at home". Nobody reads it at home. The reading happens in the room, on the clock, and every block ends with something the facilitator can do on their first Monday.</w:t>
            </w:r>
          </w:p>
        </w:tc>
      </w:tr>
    </w:tbl>
    <w:p>
      <w:r>
        <w:br w:type="page"/>
      </w:r>
    </w:p>
    <w:p>
      <w:pPr>
        <w:pStyle w:val="Heading2"/>
        <w:keepNext/>
        <w:spacing w:after="100" w:before="280"/>
      </w:pPr>
      <w:r>
        <w:rPr>
          <w:b/>
          <w:bCs/>
          <w:color w:val="7A3B69"/>
          <w:sz w:val="28"/>
          <w:szCs w:val="28"/>
        </w:rPr>
        <w:t xml:space="preserve">IND-2  Assessment on Learning Bridge+</w:t>
      </w:r>
    </w:p>
    <w:p>
      <w:pPr>
        <w:spacing w:after="80" w:before="0" w:line="300"/>
      </w:pPr>
      <w:r>
        <w:rPr>
          <w:b/>
          <w:bCs/>
          <w:color w:val="6E7A2E"/>
          <w:sz w:val="19"/>
          <w:szCs w:val="19"/>
        </w:rPr>
        <w:t xml:space="preserve">SUGGESTED LENGTH: 3-4 hrs   ·   YOU WORK FROM: Educator Guide Part 9 - the two assessment records - and the Proficiency Scale</w:t>
      </w:r>
    </w:p>
    <w:p>
      <w:pPr>
        <w:spacing w:after="60" w:before="0" w:line="300"/>
      </w:pPr>
      <w:r>
        <w:rPr>
          <w:color w:val="1F3A5F"/>
          <w:sz w:val="23"/>
          <w:szCs w:val="23"/>
        </w:rPr>
        <w:t xml:space="preserve">A facilitator can judge the two assessed competencies against the Proficiency Scale at week 6 and week 12, complete the records, and bring a case to moderation.</w:t>
      </w:r>
    </w:p>
    <w:p>
      <w:pPr>
        <w:spacing w:after="140" w:before="0" w:line="300"/>
      </w:pPr>
      <w:r>
        <w:rPr>
          <w:sz w:val="22"/>
          <w:szCs w:val="22"/>
        </w:rPr>
        <w:t xml:space="preserve">Judging the two assessed competencies against the Proficiency Scale at the week-6 supported and week-12 final points, completing the records, the Pass / Merit / Distinction boundaries, and bringing a case to Amala moderation.</w:t>
      </w:r>
    </w:p>
    <w:p>
      <w:pPr>
        <w:keepNext/>
        <w:spacing w:after="60" w:before="180"/>
      </w:pPr>
      <w:r>
        <w:rPr>
          <w:b/>
          <w:bCs/>
          <w:color w:val="6E7A2E"/>
          <w:spacing w:val="24"/>
          <w:sz w:val="17"/>
          <w:szCs w:val="17"/>
        </w:rPr>
        <w:t xml:space="preserve">AFTER THIS INDUCTION, A FACILITATOR CAN</w:t>
      </w:r>
    </w:p>
    <w:p>
      <w:pPr>
        <w:pStyle w:val="ListParagraph"/>
        <w:numPr>
          <w:ilvl w:val="0"/>
          <w:numId w:val="1"/>
        </w:numPr>
        <w:spacing w:after="80" w:line="300"/>
      </w:pPr>
      <w:r>
        <w:rPr>
          <w:sz w:val="22"/>
          <w:szCs w:val="22"/>
        </w:rPr>
        <w:t xml:space="preserve">Name the two assessed competencies and say where the evidence for each actually comes from in the programme.</w:t>
      </w:r>
    </w:p>
    <w:p>
      <w:pPr>
        <w:pStyle w:val="ListParagraph"/>
        <w:numPr>
          <w:ilvl w:val="0"/>
          <w:numId w:val="1"/>
        </w:numPr>
        <w:spacing w:after="80" w:line="300"/>
      </w:pPr>
      <w:r>
        <w:rPr>
          <w:sz w:val="22"/>
          <w:szCs w:val="22"/>
        </w:rPr>
        <w:t xml:space="preserve">Place a real piece of learner evidence on the Proficiency Scale, and say why it sits there rather than one step up.</w:t>
      </w:r>
    </w:p>
    <w:p>
      <w:pPr>
        <w:pStyle w:val="ListParagraph"/>
        <w:numPr>
          <w:ilvl w:val="0"/>
          <w:numId w:val="1"/>
        </w:numPr>
        <w:spacing w:after="80" w:line="300"/>
      </w:pPr>
      <w:r>
        <w:rPr>
          <w:sz w:val="22"/>
          <w:szCs w:val="22"/>
        </w:rPr>
        <w:t xml:space="preserve">Say what is different about the week-6 supported assessment and the week-12 final one.</w:t>
      </w:r>
    </w:p>
    <w:p>
      <w:pPr>
        <w:pStyle w:val="ListParagraph"/>
        <w:numPr>
          <w:ilvl w:val="0"/>
          <w:numId w:val="1"/>
        </w:numPr>
        <w:spacing w:after="80" w:line="300"/>
      </w:pPr>
      <w:r>
        <w:rPr>
          <w:sz w:val="22"/>
          <w:szCs w:val="22"/>
        </w:rPr>
        <w:t xml:space="preserve">Complete the assessment record for a learner.</w:t>
      </w:r>
    </w:p>
    <w:p>
      <w:pPr>
        <w:pStyle w:val="ListParagraph"/>
        <w:numPr>
          <w:ilvl w:val="0"/>
          <w:numId w:val="1"/>
        </w:numPr>
        <w:spacing w:after="80" w:line="300"/>
      </w:pPr>
      <w:r>
        <w:rPr>
          <w:sz w:val="22"/>
          <w:szCs w:val="22"/>
        </w:rPr>
        <w:t xml:space="preserve">Explain the grade boundaries - Pass, Merit, Distinction - and what a learner has to show for each.</w:t>
      </w:r>
    </w:p>
    <w:p>
      <w:pPr>
        <w:pStyle w:val="ListParagraph"/>
        <w:numPr>
          <w:ilvl w:val="0"/>
          <w:numId w:val="1"/>
        </w:numPr>
        <w:spacing w:after="80" w:line="300"/>
      </w:pPr>
      <w:r>
        <w:rPr>
          <w:sz w:val="22"/>
          <w:szCs w:val="22"/>
        </w:rPr>
        <w:t xml:space="preserve">Bring a case to Amala moderation and defend a judgement, or change it.</w:t>
      </w:r>
    </w:p>
    <w:p>
      <w:pPr>
        <w:keepNext/>
        <w:spacing w:after="60" w:before="180"/>
      </w:pPr>
      <w:r>
        <w:rPr>
          <w:b/>
          <w:bCs/>
          <w:color w:val="6E7A2E"/>
          <w:spacing w:val="24"/>
          <w:sz w:val="17"/>
          <w:szCs w:val="17"/>
        </w:rPr>
        <w:t xml:space="preserve">A SHAPE FOR THE HOURS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259"/>
        <w:gridCol w:w="7810"/>
      </w:tblGrid>
      <w:tr>
        <w:trPr>
          <w:tblHeader/>
        </w:trPr>
        <w:tc>
          <w:tcPr>
            <w:tcW w:type="dxa" w:w="1259"/>
            <w:tcMar>
              <w:top w:type="dxa" w:w="70"/>
              <w:left w:type="dxa" w:w="130"/>
              <w:bottom w:type="dxa" w:w="70"/>
              <w:right w:type="dxa" w:w="130"/>
            </w:tcMar>
          </w:tcPr>
          <w:p>
            <w:pPr>
              <w:spacing w:line="260"/>
            </w:pPr>
            <w:r>
              <w:rPr>
                <w:b/>
                <w:bCs/>
                <w:color w:val="1F3A5F"/>
                <w:sz w:val="19"/>
                <w:szCs w:val="19"/>
              </w:rPr>
              <w:t xml:space="preserve">Time</w:t>
            </w:r>
          </w:p>
        </w:tc>
        <w:tc>
          <w:tcPr>
            <w:tcW w:type="dxa" w:w="7810"/>
            <w:tcMar>
              <w:top w:type="dxa" w:w="70"/>
              <w:left w:type="dxa" w:w="130"/>
              <w:bottom w:type="dxa" w:w="70"/>
              <w:right w:type="dxa" w:w="130"/>
            </w:tcMar>
          </w:tcPr>
          <w:p>
            <w:pPr>
              <w:spacing w:line="260"/>
            </w:pPr>
            <w:r>
              <w:rPr>
                <w:b/>
                <w:bCs/>
                <w:color w:val="1F3A5F"/>
                <w:sz w:val="19"/>
                <w:szCs w:val="19"/>
              </w:rPr>
              <w:t xml:space="preserve">What happens</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What is assessed, and what is not. The two competencies, and where the evidence for each actually comes from in the programme - workbooks, steps taken, the growth path, what learners say and do. Say plainly that much of it is oral and visual, because many learners are not yet literate, and that this is expected rather than a problem to be solved.</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The Proficiency Scale, read not memorised. Put the scale in front of them and work down it together. Do not teach it as vocabulary - the words only mean something against real work.</w:t>
            </w:r>
          </w:p>
        </w:tc>
      </w:tr>
      <w:tr>
        <w:tc>
          <w:tcPr>
            <w:tcW w:type="dxa" w:w="1259"/>
            <w:tcMar>
              <w:top w:type="dxa" w:w="70"/>
              <w:left w:type="dxa" w:w="130"/>
              <w:bottom w:type="dxa" w:w="70"/>
              <w:right w:type="dxa" w:w="130"/>
            </w:tcMar>
          </w:tcPr>
          <w:p>
            <w:pPr>
              <w:spacing w:line="260"/>
            </w:pPr>
            <w:r>
              <w:rPr>
                <w:b/>
                <w:bCs/>
                <w:color w:val="7A3B69"/>
                <w:sz w:val="19"/>
                <w:szCs w:val="19"/>
              </w:rPr>
              <w:t xml:space="preserve">50 min</w:t>
            </w:r>
          </w:p>
        </w:tc>
        <w:tc>
          <w:tcPr>
            <w:tcW w:type="dxa" w:w="7810"/>
            <w:tcMar>
              <w:top w:type="dxa" w:w="70"/>
              <w:left w:type="dxa" w:w="130"/>
              <w:bottom w:type="dxa" w:w="70"/>
              <w:right w:type="dxa" w:w="130"/>
            </w:tcMar>
          </w:tcPr>
          <w:p>
            <w:pPr>
              <w:spacing w:line="260"/>
            </w:pPr>
            <w:r>
              <w:rPr>
                <w:b w:val="false"/>
                <w:bCs w:val="false"/>
                <w:sz w:val="19"/>
                <w:szCs w:val="19"/>
              </w:rPr>
              <w:t xml:space="preserve">Judging real evidence, and disagreeing. Give the group the same piece of learner evidence and have them place it on the scale independently, then show their hands at once. Where they disagree, make them argue it out and say why it sits there rather than one step up. The disagreement is the training. Do not resolve it too quickly, and do not resolve it with your own authority - resolve it against the scale.</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Completing the record. Part 9 of the Educator Guide, one per learner. Each facilitator completes a record for the evidence they just judged. Check the reasons they write, not the boxes they tick - a judgement with no reason cannot be moderated.</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The two points, and the grades. What is different about the week-6 supported assessment and the week-12 final one. Then the Pass / Merit / Distinction boundaries, and what a learner actually has to show for each.</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Moderation, and what happens when Amala disagrees. What moderation is, when it happens, and what to bring. Make it ordinary: bringing a case and changing your mind is the system working, not a failure. Practise defending one judgement out loud.</w:t>
            </w:r>
          </w:p>
        </w:tc>
      </w:tr>
    </w:tbl>
    <w:p>
      <w:pPr>
        <w:spacing w:after="140" w:before="100" w:line="300"/>
      </w:pPr>
      <w:r>
        <w:rPr>
          <w:b/>
          <w:bCs/>
          <w:color w:val="6E7A2E"/>
          <w:sz w:val="21"/>
          <w:szCs w:val="21"/>
        </w:rPr>
        <w:t xml:space="preserve">They leave having judged real evidence, argued about it, completed a record, and defended a judgement out loud.</w:t>
      </w:r>
    </w:p>
    <w:p>
      <w:pPr>
        <w:keepNext/>
        <w:spacing w:after="60" w:before="180"/>
      </w:pPr>
      <w:r>
        <w:rPr>
          <w:b/>
          <w:bCs/>
          <w:color w:val="6E7A2E"/>
          <w:spacing w:val="24"/>
          <w:sz w:val="17"/>
          <w:szCs w:val="17"/>
        </w:rPr>
        <w:t xml:space="preserve">WHAT IT DRAWS ON</w:t>
      </w:r>
    </w:p>
    <w:p>
      <w:pPr>
        <w:pStyle w:val="ListParagraph"/>
        <w:numPr>
          <w:ilvl w:val="0"/>
          <w:numId w:val="1"/>
        </w:numPr>
        <w:spacing w:after="80" w:line="300"/>
      </w:pPr>
      <w:r>
        <w:rPr>
          <w:sz w:val="22"/>
          <w:szCs w:val="22"/>
        </w:rPr>
        <w:t xml:space="preserve">Educator Guide Part 9 (the two assessment records)</w:t>
      </w:r>
    </w:p>
    <w:p>
      <w:pPr>
        <w:pStyle w:val="ListParagraph"/>
        <w:numPr>
          <w:ilvl w:val="0"/>
          <w:numId w:val="1"/>
        </w:numPr>
        <w:spacing w:after="80" w:line="300"/>
      </w:pPr>
      <w:r>
        <w:rPr>
          <w:sz w:val="22"/>
          <w:szCs w:val="22"/>
        </w:rPr>
        <w:t xml:space="preserve">The Proficiency Scale</w:t>
      </w:r>
    </w:p>
    <w:p>
      <w:pPr>
        <w:pStyle w:val="ListParagraph"/>
        <w:numPr>
          <w:ilvl w:val="0"/>
          <w:numId w:val="1"/>
        </w:numPr>
        <w:spacing w:after="80" w:line="300"/>
      </w:pPr>
      <w:r>
        <w:rPr>
          <w:sz w:val="22"/>
          <w:szCs w:val="22"/>
        </w:rPr>
        <w:t xml:space="preserve">The programme's grading block: Pass / Merit / Distinction</w:t>
      </w:r>
    </w:p>
    <w:p>
      <w:pPr>
        <w:pStyle w:val="ListParagraph"/>
        <w:numPr>
          <w:ilvl w:val="0"/>
          <w:numId w:val="1"/>
        </w:numPr>
        <w:spacing w:after="80" w:line="300"/>
      </w:pPr>
      <w:r>
        <w:rPr>
          <w:sz w:val="22"/>
          <w:szCs w:val="22"/>
        </w:rPr>
        <w:t xml:space="preserve">MOD-C, Conducting assessments of competence, for the underlying craft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Teaching the scale as vocabulary. Facilitators have to judge real or realistic evidence in the room, and disagree with each other about it. The disagreement is the training - not the slide that resolves it.</w:t>
            </w:r>
          </w:p>
        </w:tc>
      </w:tr>
    </w:tbl>
    <w:p>
      <w:r>
        <w:br w:type="page"/>
      </w:r>
    </w:p>
    <w:p>
      <w:pPr>
        <w:pStyle w:val="Heading1"/>
        <w:keepNext/>
        <w:spacing w:after="140" w:before="320"/>
      </w:pPr>
      <w:r>
        <w:rPr>
          <w:b/>
          <w:bCs/>
          <w:color w:val="1F3A5F"/>
          <w:sz w:val="36"/>
          <w:szCs w:val="36"/>
        </w:rPr>
        <w:t xml:space="preserve">3. How you know a facilitator is ready</w:t>
      </w:r>
    </w:p>
    <w:p>
      <w:pPr>
        <w:spacing w:after="140" w:before="0" w:line="300"/>
      </w:pPr>
      <w:r>
        <w:rPr>
          <w:sz w:val="22"/>
          <w:szCs w:val="22"/>
        </w:rPr>
        <w:t xml:space="preserve">Induction is not assessed and nobody passes or fails it. But you are the last person who sees a facilitator before they stand in front of learners, so somebody has to be able to say they are ready - and that is you.</w:t>
      </w:r>
    </w:p>
    <w:p>
      <w:pPr>
        <w:spacing w:after="140" w:before="0" w:line="300"/>
      </w:pPr>
      <w:r>
        <w:rPr>
          <w:sz w:val="22"/>
          <w:szCs w:val="22"/>
        </w:rPr>
        <w:t xml:space="preserve">The test is the list under each induction: what a facilitator can DO afterwards. Not what they were told, and not what they nodded at. Watch for these three, which are the ones that actually predict a hard first week.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Watch for</w:t>
            </w:r>
          </w:p>
        </w:tc>
        <w:tc>
          <w:tcPr>
            <w:tcW w:type="dxa" w:w="6382"/>
            <w:tcMar>
              <w:top w:type="dxa" w:w="70"/>
              <w:left w:type="dxa" w:w="130"/>
              <w:bottom w:type="dxa" w:w="70"/>
              <w:right w:type="dxa" w:w="130"/>
            </w:tcMar>
          </w:tcPr>
          <w:p>
            <w:pPr>
              <w:spacing w:line="260"/>
            </w:pPr>
            <w:r>
              <w:rPr>
                <w:b/>
                <w:bCs/>
                <w:color w:val="1F3A5F"/>
                <w:sz w:val="19"/>
                <w:szCs w:val="19"/>
              </w:rPr>
              <w:t xml:space="preserve">What to do about it</w:t>
            </w:r>
          </w:p>
        </w:tc>
      </w:tr>
      <w:tr>
        <w:tc>
          <w:tcPr>
            <w:tcW w:type="dxa" w:w="2687"/>
            <w:tcMar>
              <w:top w:type="dxa" w:w="70"/>
              <w:left w:type="dxa" w:w="130"/>
              <w:bottom w:type="dxa" w:w="70"/>
              <w:right w:type="dxa" w:w="130"/>
            </w:tcMar>
          </w:tcPr>
          <w:p>
            <w:pPr>
              <w:spacing w:line="260"/>
            </w:pPr>
            <w:r>
              <w:rPr>
                <w:b/>
                <w:bCs/>
                <w:color w:val="7A3B69"/>
                <w:sz w:val="19"/>
                <w:szCs w:val="19"/>
              </w:rPr>
              <w:t xml:space="preserve">They cannot find things in the Educator Guide.</w:t>
            </w:r>
          </w:p>
        </w:tc>
        <w:tc>
          <w:tcPr>
            <w:tcW w:type="dxa" w:w="6382"/>
            <w:tcMar>
              <w:top w:type="dxa" w:w="70"/>
              <w:left w:type="dxa" w:w="130"/>
              <w:bottom w:type="dxa" w:w="70"/>
              <w:right w:type="dxa" w:w="130"/>
            </w:tcMar>
          </w:tcPr>
          <w:p>
            <w:pPr>
              <w:spacing w:line="260"/>
            </w:pPr>
            <w:r>
              <w:rPr>
                <w:b w:val="false"/>
                <w:bCs w:val="false"/>
                <w:sz w:val="19"/>
                <w:szCs w:val="19"/>
              </w:rPr>
              <w:t xml:space="preserve">The most common one, and the easiest to miss because nobody admits it. Run the find-it round again. A facilitator who cannot find the block they are teaching will improvise, and improvising is exactly what this pack exists to make unnecessary.</w:t>
            </w:r>
          </w:p>
        </w:tc>
      </w:tr>
      <w:tr>
        <w:tc>
          <w:tcPr>
            <w:tcW w:type="dxa" w:w="2687"/>
            <w:tcMar>
              <w:top w:type="dxa" w:w="70"/>
              <w:left w:type="dxa" w:w="130"/>
              <w:bottom w:type="dxa" w:w="70"/>
              <w:right w:type="dxa" w:w="130"/>
            </w:tcMar>
          </w:tcPr>
          <w:p>
            <w:pPr>
              <w:spacing w:line="260"/>
            </w:pPr>
            <w:r>
              <w:rPr>
                <w:b/>
                <w:bCs/>
                <w:color w:val="7A3B69"/>
                <w:sz w:val="19"/>
                <w:szCs w:val="19"/>
              </w:rPr>
              <w:t xml:space="preserve">They agreed with every judgement in the assessment induction.</w:t>
            </w:r>
          </w:p>
        </w:tc>
        <w:tc>
          <w:tcPr>
            <w:tcW w:type="dxa" w:w="6382"/>
            <w:tcMar>
              <w:top w:type="dxa" w:w="70"/>
              <w:left w:type="dxa" w:w="130"/>
              <w:bottom w:type="dxa" w:w="70"/>
              <w:right w:type="dxa" w:w="130"/>
            </w:tcMar>
          </w:tcPr>
          <w:p>
            <w:pPr>
              <w:spacing w:line="260"/>
            </w:pPr>
            <w:r>
              <w:rPr>
                <w:b w:val="false"/>
                <w:bCs w:val="false"/>
                <w:sz w:val="19"/>
                <w:szCs w:val="19"/>
              </w:rPr>
              <w:t xml:space="preserve">Usually politeness, not agreement. Ask them to argue the opposite case out loud. If they cannot, they will not push back at moderation either, and their judgements will drift towards whoever spoke first.</w:t>
            </w:r>
          </w:p>
        </w:tc>
      </w:tr>
      <w:tr>
        <w:tc>
          <w:tcPr>
            <w:tcW w:type="dxa" w:w="2687"/>
            <w:tcMar>
              <w:top w:type="dxa" w:w="70"/>
              <w:left w:type="dxa" w:w="130"/>
              <w:bottom w:type="dxa" w:w="70"/>
              <w:right w:type="dxa" w:w="130"/>
            </w:tcMar>
          </w:tcPr>
          <w:p>
            <w:pPr>
              <w:spacing w:line="260"/>
            </w:pPr>
            <w:r>
              <w:rPr>
                <w:b/>
                <w:bCs/>
                <w:color w:val="7A3B69"/>
                <w:sz w:val="19"/>
                <w:szCs w:val="19"/>
              </w:rPr>
              <w:t xml:space="preserve">They talk about learners who "cannot" do things.</w:t>
            </w:r>
          </w:p>
        </w:tc>
        <w:tc>
          <w:tcPr>
            <w:tcW w:type="dxa" w:w="6382"/>
            <w:tcMar>
              <w:top w:type="dxa" w:w="70"/>
              <w:left w:type="dxa" w:w="130"/>
              <w:bottom w:type="dxa" w:w="70"/>
              <w:right w:type="dxa" w:w="130"/>
            </w:tcMar>
          </w:tcPr>
          <w:p>
            <w:pPr>
              <w:spacing w:line="260"/>
            </w:pPr>
            <w:r>
              <w:rPr>
                <w:b w:val="false"/>
                <w:bCs w:val="false"/>
                <w:sz w:val="19"/>
                <w:szCs w:val="19"/>
              </w:rPr>
              <w:t xml:space="preserve">Worth stopping for. Drawing, marking and speaking are full answers on this programme; a facilitator who reads low literacy as low ability will under-record evidence all the way to week 12. Go back to the oral-and-visual evidence examples.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SOMEONE IS NOT READY</w:t>
            </w:r>
          </w:p>
          <w:p>
            <w:pPr>
              <w:spacing w:after="90" w:before="0" w:line="300"/>
            </w:pPr>
            <w:r>
              <w:rPr>
                <w:sz w:val="21"/>
                <w:szCs w:val="21"/>
              </w:rPr>
              <w:t xml:space="preserve">Say so, to the coordinator, before the cohort starts. Not to spare them - to spare the learners a facilitator who is guessing.</w:t>
            </w:r>
          </w:p>
          <w:p>
            <w:pPr>
              <w:spacing w:after="0" w:before="0" w:line="300"/>
            </w:pPr>
            <w:r>
              <w:rPr>
                <w:sz w:val="21"/>
                <w:szCs w:val="21"/>
              </w:rPr>
              <w:t xml:space="preserve">It is almost never the whole induction that needs repeating. Name the one thing, and give them the block again.</w:t>
            </w:r>
          </w:p>
        </w:tc>
      </w:tr>
    </w:tbl>
    <w:p>
      <w:pPr>
        <w:pStyle w:val="Heading1"/>
        <w:keepNext/>
        <w:spacing w:after="140" w:before="320"/>
      </w:pPr>
      <w:r>
        <w:rPr>
          <w:b/>
          <w:bCs/>
          <w:color w:val="1F3A5F"/>
          <w:sz w:val="36"/>
          <w:szCs w:val="36"/>
        </w:rPr>
        <w:t xml:space="preserve">4. The record</w:t>
      </w:r>
    </w:p>
    <w:p>
      <w:pPr>
        <w:spacing w:after="140" w:before="0" w:line="300"/>
      </w:pPr>
      <w:r>
        <w:rPr>
          <w:sz w:val="22"/>
          <w:szCs w:val="22"/>
        </w:rPr>
        <w:t xml:space="preserve">Keep it light, and keep it. The coordinator needs to be able to say, for any facilitator in front of any learner, that they were inducted and when.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519"/>
        <w:gridCol w:w="1511"/>
        <w:gridCol w:w="1511"/>
        <w:gridCol w:w="3527"/>
      </w:tblGrid>
      <w:tr>
        <w:trPr>
          <w:tblHeader/>
        </w:trPr>
        <w:tc>
          <w:tcPr>
            <w:tcW w:type="dxa" w:w="2519"/>
            <w:tcMar>
              <w:top w:type="dxa" w:w="70"/>
              <w:left w:type="dxa" w:w="130"/>
              <w:bottom w:type="dxa" w:w="70"/>
              <w:right w:type="dxa" w:w="130"/>
            </w:tcMar>
          </w:tcPr>
          <w:p>
            <w:pPr>
              <w:spacing w:line="260"/>
            </w:pPr>
            <w:r>
              <w:rPr>
                <w:b/>
                <w:bCs/>
                <w:color w:val="1F3A5F"/>
                <w:sz w:val="19"/>
                <w:szCs w:val="19"/>
              </w:rPr>
              <w:t xml:space="preserve">Facilitator</w:t>
            </w:r>
          </w:p>
        </w:tc>
        <w:tc>
          <w:tcPr>
            <w:tcW w:type="dxa" w:w="1511"/>
            <w:tcMar>
              <w:top w:type="dxa" w:w="70"/>
              <w:left w:type="dxa" w:w="130"/>
              <w:bottom w:type="dxa" w:w="70"/>
              <w:right w:type="dxa" w:w="130"/>
            </w:tcMar>
          </w:tcPr>
          <w:p>
            <w:pPr>
              <w:spacing w:line="260"/>
            </w:pPr>
            <w:r>
              <w:rPr>
                <w:b/>
                <w:bCs/>
                <w:color w:val="1F3A5F"/>
                <w:sz w:val="19"/>
                <w:szCs w:val="19"/>
              </w:rPr>
              <w:t xml:space="preserve">IND-1 date</w:t>
            </w:r>
          </w:p>
        </w:tc>
        <w:tc>
          <w:tcPr>
            <w:tcW w:type="dxa" w:w="1511"/>
            <w:tcMar>
              <w:top w:type="dxa" w:w="70"/>
              <w:left w:type="dxa" w:w="130"/>
              <w:bottom w:type="dxa" w:w="70"/>
              <w:right w:type="dxa" w:w="130"/>
            </w:tcMar>
          </w:tcPr>
          <w:p>
            <w:pPr>
              <w:spacing w:line="260"/>
            </w:pPr>
            <w:r>
              <w:rPr>
                <w:b/>
                <w:bCs/>
                <w:color w:val="1F3A5F"/>
                <w:sz w:val="19"/>
                <w:szCs w:val="19"/>
              </w:rPr>
              <w:t xml:space="preserve">IND-2 date</w:t>
            </w:r>
          </w:p>
        </w:tc>
        <w:tc>
          <w:tcPr>
            <w:tcW w:type="dxa" w:w="3527"/>
            <w:tcMar>
              <w:top w:type="dxa" w:w="70"/>
              <w:left w:type="dxa" w:w="130"/>
              <w:bottom w:type="dxa" w:w="70"/>
              <w:right w:type="dxa" w:w="130"/>
            </w:tcMar>
          </w:tcPr>
          <w:p>
            <w:pPr>
              <w:spacing w:line="260"/>
            </w:pPr>
            <w:r>
              <w:rPr>
                <w:b/>
                <w:bCs/>
                <w:color w:val="1F3A5F"/>
                <w:sz w:val="19"/>
                <w:szCs w:val="19"/>
              </w:rPr>
              <w:t xml:space="preserve">Ready to start?  (and if not, the one thing)</w:t>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bl>
    <w:p>
      <w:pPr>
        <w:pStyle w:val="Heading1"/>
        <w:keepNext/>
        <w:spacing w:after="140" w:before="320"/>
      </w:pPr>
      <w:r>
        <w:rPr>
          <w:b/>
          <w:bCs/>
          <w:color w:val="1F3A5F"/>
          <w:sz w:val="36"/>
          <w:szCs w:val="36"/>
        </w:rPr>
        <w:t xml:space="preserve">5. Somebody joins mid-cohort</w:t>
      </w:r>
    </w:p>
    <w:p>
      <w:pPr>
        <w:spacing w:after="140" w:before="0" w:line="300"/>
      </w:pPr>
      <w:r>
        <w:rPr>
          <w:sz w:val="22"/>
          <w:szCs w:val="22"/>
        </w:rPr>
        <w:t xml:space="preserve">It will happen - staff turnover in the camps is a fact of the context, not an exception to plan around. Attendance is stop-start for learners, and it is stop-start for facilitators too.</w:t>
      </w:r>
    </w:p>
    <w:p>
      <w:pPr>
        <w:pStyle w:val="ListParagraph"/>
        <w:numPr>
          <w:ilvl w:val="0"/>
          <w:numId w:val="1"/>
        </w:numPr>
        <w:spacing w:after="80" w:line="300"/>
      </w:pPr>
      <w:r>
        <w:rPr>
          <w:sz w:val="22"/>
          <w:szCs w:val="22"/>
        </w:rPr>
        <w:t xml:space="preserve">Run IND-1 before they take a session. Never skip it: it is the one that makes the Educator Guide usable, and a facilitator without it will be improvising in front of a group in their first week.</w:t>
      </w:r>
    </w:p>
    <w:p>
      <w:pPr>
        <w:pStyle w:val="ListParagraph"/>
        <w:numPr>
          <w:ilvl w:val="0"/>
          <w:numId w:val="1"/>
        </w:numPr>
        <w:spacing w:after="80" w:line="300"/>
      </w:pPr>
      <w:r>
        <w:rPr>
          <w:sz w:val="22"/>
          <w:szCs w:val="22"/>
        </w:rPr>
        <w:t xml:space="preserve">IND-2 can wait, but only until the assessment window is in sight. Run it before the week-6 supported assessment, not during it.</w:t>
      </w:r>
    </w:p>
    <w:p>
      <w:pPr>
        <w:pStyle w:val="ListParagraph"/>
        <w:numPr>
          <w:ilvl w:val="0"/>
          <w:numId w:val="1"/>
        </w:numPr>
        <w:spacing w:after="80" w:line="300"/>
      </w:pPr>
      <w:r>
        <w:rPr>
          <w:sz w:val="22"/>
          <w:szCs w:val="22"/>
        </w:rPr>
        <w:t xml:space="preserve">Pair them with a facilitator who has been there since Week 1, for their first two weeks. This is worth more than anything you can say in a room.</w:t>
      </w:r>
    </w:p>
    <w:p>
      <w:pPr>
        <w:pStyle w:val="ListParagraph"/>
        <w:numPr>
          <w:ilvl w:val="0"/>
          <w:numId w:val="1"/>
        </w:numPr>
        <w:spacing w:after="80" w:line="300"/>
      </w:pPr>
      <w:r>
        <w:rPr>
          <w:sz w:val="22"/>
          <w:szCs w:val="22"/>
        </w:rPr>
        <w:t xml:space="preserve">Tell the coordinator what you cut and when you will run it, so the record stays honest.</w:t>
      </w:r>
    </w:p>
    <w:p>
      <w:pPr>
        <w:pStyle w:val="Heading1"/>
        <w:keepNext/>
        <w:spacing w:after="140" w:before="320"/>
      </w:pPr>
      <w:r>
        <w:rPr>
          <w:b/>
          <w:bCs/>
          <w:color w:val="1F3A5F"/>
          <w:sz w:val="36"/>
          <w:szCs w:val="36"/>
        </w:rPr>
        <w:t xml:space="preserve">6. After induction</w:t>
      </w:r>
    </w:p>
    <w:p>
      <w:pPr>
        <w:spacing w:after="140" w:before="0" w:line="300"/>
      </w:pPr>
      <w:r>
        <w:rPr>
          <w:sz w:val="22"/>
          <w:szCs w:val="22"/>
        </w:rPr>
        <w:t xml:space="preserve">Induction is not the end of your involvement, and the first two weeks are where it either lands or does not.</w:t>
      </w:r>
    </w:p>
    <w:p>
      <w:pPr>
        <w:pStyle w:val="ListParagraph"/>
        <w:numPr>
          <w:ilvl w:val="0"/>
          <w:numId w:val="1"/>
        </w:numPr>
        <w:spacing w:after="80" w:line="300"/>
      </w:pPr>
      <w:r>
        <w:rPr>
          <w:sz w:val="22"/>
          <w:szCs w:val="22"/>
        </w:rPr>
        <w:t xml:space="preserve">Sit in on one session per facilitator in the first fortnight. Not to judge them - to see which parts of the guide they are actually using, and which they have quietly stopped opening.</w:t>
      </w:r>
    </w:p>
    <w:p>
      <w:pPr>
        <w:pStyle w:val="ListParagraph"/>
        <w:numPr>
          <w:ilvl w:val="0"/>
          <w:numId w:val="1"/>
        </w:numPr>
        <w:spacing w:after="80" w:line="300"/>
      </w:pPr>
      <w:r>
        <w:rPr>
          <w:sz w:val="22"/>
          <w:szCs w:val="22"/>
        </w:rPr>
        <w:t xml:space="preserve">Take the questions that arrive in week two seriously. They are the real ones. The questions asked in the induction room are mostly about the programme; the questions asked in week two are about the learners in front of them.</w:t>
      </w:r>
    </w:p>
    <w:p>
      <w:pPr>
        <w:pStyle w:val="ListParagraph"/>
        <w:numPr>
          <w:ilvl w:val="0"/>
          <w:numId w:val="1"/>
        </w:numPr>
        <w:spacing w:after="80" w:line="300"/>
      </w:pPr>
      <w:r>
        <w:rPr>
          <w:sz w:val="22"/>
          <w:szCs w:val="22"/>
        </w:rPr>
        <w:t xml:space="preserve">Feed what you see back to the coordinator, and to Amala. If several facilitators are stuck on the same thing, that is a curriculum problem, not a training problem, and Amala should hear about it.</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Trainer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2026-09-07T03:43:39.056Z</dcterms:created>
  <dcterms:modified xsi:type="dcterms:W3CDTF">2026-09-07T03:43:39.056Z</dcterms:modified>
</cp:coreProperties>
</file>

<file path=docProps/custom.xml><?xml version="1.0" encoding="utf-8"?>
<Properties xmlns="http://schemas.openxmlformats.org/officeDocument/2006/custom-properties" xmlns:vt="http://schemas.openxmlformats.org/officeDocument/2006/docPropsVTypes"/>
</file>