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300"/>
      </w:pPr>
      <w:r>
        <w:rPr>
          <w:b/>
          <w:bCs/>
          <w:color w:val="1F3A5F"/>
          <w:sz w:val="44"/>
          <w:szCs w:val="44"/>
        </w:rPr>
        <w:t xml:space="preserve">Agency in Learning</w:t>
      </w:r>
    </w:p>
    <w:p>
      <w:pPr>
        <w:spacing w:after="40" w:before="0" w:line="300"/>
      </w:pPr>
      <w:r>
        <w:rPr>
          <w:b/>
          <w:bCs/>
          <w:color w:val="7A3B69"/>
          <w:sz w:val="24"/>
          <w:szCs w:val="24"/>
        </w:rPr>
        <w:t xml:space="preserve">Assessment record — Set and pursue goals (FSL2)</w:t>
      </w:r>
    </w:p>
    <w:p>
      <w:pPr>
        <w:spacing w:after="160" w:before="0" w:line="300"/>
      </w:pPr>
      <w:r>
        <w:rPr>
          <w:color w:val="5A6473"/>
          <w:sz w:val="20"/>
          <w:szCs w:val="20"/>
        </w:rPr>
        <w:t xml:space="preserve">Learning Bridge+ (Cox's Bazar)  ·  Facilitator — make one copy per learner</w:t>
      </w:r>
    </w:p>
    <w:p>
      <w:pPr>
        <w:spacing w:after="120" w:before="0" w:line="300"/>
      </w:pPr>
      <w:r>
        <w:rPr>
          <w:sz w:val="22"/>
          <w:szCs w:val="22"/>
        </w:rPr>
        <w:t xml:space="preserve">Judge each learner by your professional judgement against Amala’s proficiency scale, from evidence gathered across the whole component — not from one artefact. Much of your strongest evidence is oral and visual, because many learners are not yet literate; that is expected, so record what you saw and heard. Tick the level and write one or two lines of evidence for why.</w:t>
      </w:r>
    </w:p>
    <w:p>
      <w:pPr>
        <w:spacing w:after="160" w:before="0" w:line="300"/>
      </w:pPr>
      <w:r>
        <w:rPr>
          <w:color w:val="5A6473"/>
          <w:sz w:val="20"/>
          <w:szCs w:val="20"/>
        </w:rPr>
        <w:t xml:space="preserve">The scale is generic: one ladder, read against the goal FSL2 names — the learner can establish clear objectives for learning and growth and take deliberate steps to make progress towards them. Credit begins at Practitioner, which is also the readiness bar for the accredited secondary pathway. Expert needs two or more genuinely different scenarios, so it rarely comes from this component alone.</w:t>
      </w:r>
    </w:p>
    <w:p>
      <w:pPr>
        <w:spacing w:after="200" w:before="0" w:line="300"/>
      </w:pPr>
      <w:r>
        <w:rPr>
          <w:sz w:val="22"/>
          <w:szCs w:val="22"/>
        </w:rPr>
        <w:t xml:space="preserve">Learner: ______________________________</w:t>
      </w:r>
    </w:p>
    <w:p>
      <w:pPr>
        <w:pStyle w:val="Heading2"/>
        <w:keepNext/>
        <w:spacing w:after="100" w:before="280"/>
      </w:pPr>
      <w:r>
        <w:rPr>
          <w:b/>
          <w:bCs/>
          <w:color w:val="7A3B69"/>
          <w:sz w:val="28"/>
          <w:szCs w:val="28"/>
        </w:rPr>
        <w:t xml:space="preserve">Week 6 — supported (formative)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Provisional, made with Amala’s support and calibration: a checkpoint that tells you where to put your support next, not the final grade.</w:t>
      </w:r>
    </w:p>
    <w:p>
      <w:r>
        <w:br w:type="page"/>
      </w:r>
    </w:p>
    <w:p>
      <w:pPr>
        <w:pStyle w:val="Heading2"/>
        <w:keepNext/>
        <w:spacing w:after="100" w:before="280"/>
      </w:pPr>
      <w:r>
        <w:rPr>
          <w:b/>
          <w:bCs/>
          <w:color w:val="7A3B69"/>
          <w:sz w:val="28"/>
          <w:szCs w:val="28"/>
        </w:rPr>
        <w:t xml:space="preserve">Week 12 — final (summative) judgement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(FSL2)</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goal they would set for their own learning, or what they would do about it,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goal they would set and what steps they would take towards it,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set a goal of their own and took deliberate steps towards it, with a clear rationale — even if the goal is not yet reached.</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Reached the goal they set, and can say what helped, what did not, and what they would do differently next time, pointing to evidence in their learning book.</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goal in which they carried through an improvement identified in the first.</w:t>
            </w:r>
          </w:p>
        </w:tc>
      </w:tr>
    </w:tbl>
    <w:p>
      <w:pPr>
        <w:spacing w:after="40" w:before="160" w:line="300"/>
      </w:pPr>
      <w:r>
        <w:rPr>
          <w:color w:val="5A6473"/>
          <w:sz w:val="18"/>
          <w:szCs w:val="18"/>
        </w:rPr>
        <w:t xml:space="preserve">Evidence for the judgement (the goal they set and why · the steps actually taken · how they adjusted when a step did not work · the growth path, before and now · what they said in check-ins and the final sharing):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80" w:line="300"/>
      </w:pPr>
      <w:r>
        <w:rPr>
          <w:b/>
          <w:bCs/>
          <w:color w:val="5A6473"/>
          <w:sz w:val="18"/>
          <w:szCs w:val="18"/>
        </w:rPr>
        <w:t xml:space="preserve">This is the judgement that counts towards the certificated competency and the readiness decision. Amala moderates a sample of these against the evidence.</w:t>
      </w:r>
    </w:p>
    <w:p>
      <w:pPr>
        <w:spacing w:after="140" w:before="200" w:line="300"/>
      </w:pPr>
      <w:r>
        <w:rPr>
          <w:color w:val="5A6473"/>
          <w:sz w:val="16"/>
          <w:szCs w:val="16"/>
        </w:rPr>
        <w:t xml:space="preserve">Levels, GPA values and generic descriptors are Amala’s official Competency Framework and Proficiency Scale (cohorts starting 2025).</w:t>
      </w:r>
    </w:p>
    <w:sectPr>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2026-08-24T04:55:55.975Z</dcterms:created>
  <dcterms:modified xsi:type="dcterms:W3CDTF">2026-08-24T04:55:55.975Z</dcterms:modified>
</cp:coreProperties>
</file>

<file path=docProps/custom.xml><?xml version="1.0" encoding="utf-8"?>
<Properties xmlns="http://schemas.openxmlformats.org/officeDocument/2006/custom-properties" xmlns:vt="http://schemas.openxmlformats.org/officeDocument/2006/docPropsVTypes"/>
</file>