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You should not need any other document to deliver Learning Bridge+ (Cox’s Bazar): the full plan for all three components, the learner books to print, the cards to cut out, and the assessment records are all inside it, in the order you will need them.</w:t>
      </w:r>
    </w:p>
    <w:p>
      <w:pPr>
        <w:spacing w:after="140" w:before="0" w:line="30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 the whole component: setting up, the ten-minute conversation, safeguarding and referral, the arc across twelve weeks, and the record.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The three learner books, ready to print — one per learner, per component.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The two assessment records — one copy per learner, per assessed competency.</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Copy before Week 1; fill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which stays on the USB. There are no slides — this pack assumes no screen, and every activity runs from paper, a wall, and your voice.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HOW MUCH TO PRINT, IN ORDER OF PREFERENCE</w:t>
            </w:r>
          </w:p>
          <w:p>
            <w:pPr>
              <w:spacing w:after="90" w:before="0" w:line="300"/>
            </w:pPr>
            <w:r>
              <w:rPr>
                <w:sz w:val="21"/>
                <w:szCs w:val="21"/>
              </w:rPr>
              <w:t xml:space="preserve">BEST — one learner book per learner. The book carries the teaching, the worked examples and the frames, and it is the evidence the assessment is made from. A learner who owns theirs can re-read a method after a missed session and take it home.</w:t>
            </w:r>
          </w:p>
          <w:p>
            <w:pPr>
              <w:spacing w:after="90" w:before="0" w:line="300"/>
            </w:pPr>
            <w:r>
              <w:rPr>
                <w:sz w:val="21"/>
                <w:szCs w:val="21"/>
              </w:rPr>
              <w:t xml:space="preserve">WORKABLE — one book shared between two or three learners, with each learner using an ordinary notebook for their own answers. You keep the teaching; you lose only the private page.</w:t>
            </w:r>
          </w:p>
          <w:p>
            <w:pPr>
              <w:spacing w:after="90" w:before="0" w:line="300"/>
            </w:pPr>
            <w:r>
              <w:rPr>
                <w:sz w:val="21"/>
                <w:szCs w:val="21"/>
              </w:rPr>
              <w:t xml:space="preserve">THE FLOOR — one copy, displayed on a screen or held up, and everyone works in a notebook. Say the page title aloud each time so a learner’s notebook still has a shape you can both follow.</w:t>
            </w:r>
          </w:p>
          <w:p>
            <w:pPr>
              <w:spacing w:after="0" w:before="0" w:line="300"/>
            </w:pPr>
            <w:r>
              <w:rPr>
                <w:sz w:val="21"/>
                <w:szCs w:val="21"/>
              </w:rPr>
              <w:t xml:space="preserve">The books are Word files. If paper is short, NRC can cut pages before printing — start with the "My notes and drawings" pages, which an ordinary notebook does better.</w:t>
            </w:r>
          </w:p>
        </w:tc>
      </w:tr>
    </w:tbl>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 the simplest thing to print. It holds all three learner books below,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7A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7B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7C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assessment record (FSL2)</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assessment record (FSI1)</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Mentor’s record</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on your mentoring caseload. Part 9C here.</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 adapt them to your group. The plan is a floor, not a ceiling.</w:t>
            </w:r>
          </w:p>
        </w:tc>
      </w:tr>
    </w:tbl>
    <w:p>
      <w:r>
        <w:br w:type="page"/>
      </w:r>
    </w:p>
    <w:p>
      <w:pPr>
        <w:spacing w:after="140" w:before="0" w:line="300"/>
      </w:pPr>
      <w:r>
        <w:rPr>
          <w:b/>
          <w:bCs/>
          <w:color w:val="1F3A5F"/>
          <w:sz w:val="36"/>
          <w:szCs w:val="36"/>
        </w:rPr>
        <w:t xml:space="preserve">Contents</w:t>
      </w:r>
    </w:p>
    <w:p>
      <w:pPr>
        <w:spacing w:after="160" w:before="0" w:line="300"/>
      </w:pPr>
      <w:r>
        <w:rPr>
          <w:color w:val="5A6473"/>
          <w:sz w:val="20"/>
          <w:szCs w:val="20"/>
        </w:rPr>
        <w:t xml:space="preserve">The shape of the guide, and then the contents with page numbers.</w:t>
      </w:r>
    </w:p>
    <w:p>
      <w:pPr>
        <w:spacing w:after="40" w:before="160"/>
      </w:pPr>
      <w:r>
        <w:rPr>
          <w:b/>
          <w:bCs/>
          <w:color w:val="1F3A5F"/>
          <w:sz w:val="22"/>
          <w:szCs w:val="22"/>
        </w:rPr>
        <w:t xml:space="preserve">Part 1 — Before you start</w:t>
      </w:r>
    </w:p>
    <w:p>
      <w:pPr>
        <w:spacing w:after="40" w:before="160"/>
      </w:pPr>
      <w:r>
        <w:rPr>
          <w:b/>
          <w:bCs/>
          <w:color w:val="1F3A5F"/>
          <w:sz w:val="22"/>
          <w:szCs w:val="22"/>
        </w:rPr>
        <w:t xml:space="preserve">Part 2 — Mentoring and wellbeing</w:t>
      </w:r>
    </w:p>
    <w:p>
      <w:pPr>
        <w:spacing w:after="40" w:before="160"/>
      </w:pPr>
      <w:r>
        <w:rPr>
          <w:b/>
          <w:bCs/>
          <w:color w:val="1F3A5F"/>
          <w:sz w:val="22"/>
          <w:szCs w:val="22"/>
        </w:rPr>
        <w:t xml:space="preserve">Part 3 — Assessing the two competencies</w:t>
      </w:r>
    </w:p>
    <w:p>
      <w:pPr>
        <w:spacing w:after="40" w:before="160"/>
      </w:pPr>
      <w:r>
        <w:rPr>
          <w:b/>
          <w:bCs/>
          <w:color w:val="1F3A5F"/>
          <w:sz w:val="22"/>
          <w:szCs w:val="22"/>
        </w:rPr>
        <w:t xml:space="preserve">Part 4 — Agency in Learning</w:t>
      </w:r>
    </w:p>
    <w:p>
      <w:pPr>
        <w:spacing w:after="40" w:before="160"/>
      </w:pPr>
      <w:r>
        <w:rPr>
          <w:b/>
          <w:bCs/>
          <w:color w:val="1F3A5F"/>
          <w:sz w:val="22"/>
          <w:szCs w:val="22"/>
        </w:rPr>
        <w:t xml:space="preserve">Part 5 — English — My Voice</w:t>
      </w:r>
    </w:p>
    <w:p>
      <w:pPr>
        <w:spacing w:after="40" w:before="160"/>
      </w:pPr>
      <w:r>
        <w:rPr>
          <w:b/>
          <w:bCs/>
          <w:color w:val="1F3A5F"/>
          <w:sz w:val="22"/>
          <w:szCs w:val="22"/>
        </w:rPr>
        <w:t xml:space="preserve">Part 6 — Research Project</w:t>
      </w:r>
    </w:p>
    <w:p>
      <w:pPr>
        <w:spacing w:after="40" w:before="160"/>
      </w:pPr>
      <w:r>
        <w:rPr>
          <w:b/>
          <w:bCs/>
          <w:color w:val="1F3A5F"/>
          <w:sz w:val="22"/>
          <w:szCs w:val="22"/>
        </w:rPr>
        <w:t xml:space="preserve">Part 7 — The learner books — print one per learner</w:t>
      </w:r>
    </w:p>
    <w:p>
      <w:pPr>
        <w:spacing w:after="40" w:before="160"/>
      </w:pPr>
      <w:r>
        <w:rPr>
          <w:b/>
          <w:bCs/>
          <w:color w:val="1F3A5F"/>
          <w:sz w:val="22"/>
          <w:szCs w:val="22"/>
        </w:rPr>
        <w:t xml:space="preserve">Part 8 — Cards to print and cut out</w:t>
      </w:r>
    </w:p>
    <w:p>
      <w:pPr>
        <w:spacing w:after="40" w:before="160"/>
      </w:pPr>
      <w:r>
        <w:rPr>
          <w:b/>
          <w:bCs/>
          <w:color w:val="1F3A5F"/>
          <w:sz w:val="22"/>
          <w:szCs w:val="22"/>
        </w:rPr>
        <w:t xml:space="preserve">Part 9 — Records</w:t>
      </w:r>
    </w:p>
    <w:p>
      <w:pPr>
        <w:pStyle w:val="Heading2"/>
        <w:keepNext/>
        <w:spacing w:after="100" w:before="280"/>
      </w:pPr>
      <w:r>
        <w:rPr>
          <w:b/>
          <w:bCs/>
          <w:color w:val="7A3B69"/>
          <w:sz w:val="28"/>
          <w:szCs w:val="28"/>
        </w:rPr>
        <w:t xml:space="preserve">Contents, with page numbers</w:t>
      </w:r>
    </w:p>
    <w:p>
      <w:pPr>
        <w:spacing w:after="140" w:before="0" w:line="300"/>
      </w:pPr>
      <w:r>
        <w:rPr>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1800" w:line="300"/>
      </w:pPr>
      <w:r>
        <w:rPr>
          <w:b/>
          <w:bCs/>
          <w:color w:val="6E7A2E"/>
          <w:sz w:val="24"/>
          <w:szCs w:val="24"/>
        </w:rPr>
        <w:t xml:space="preserve">PART 1</w:t>
      </w:r>
    </w:p>
    <w:p>
      <w:pPr>
        <w:pStyle w:val="Heading1"/>
        <w:spacing w:after="120"/>
      </w:pPr>
      <w:r>
        <w:rPr>
          <w:b/>
          <w:bCs/>
          <w:color w:val="1F3A5F"/>
          <w:sz w:val="44"/>
          <w:szCs w:val="44"/>
        </w:rPr>
        <w:t xml:space="preserve">Part 1 — Before you start</w:t>
      </w:r>
    </w:p>
    <w:p>
      <w:pPr>
        <w:spacing w:after="140" w:before="0" w:line="300"/>
      </w:pPr>
      <w:r>
        <w:rPr>
          <w:color w:val="5A6473"/>
          <w:sz w:val="23"/>
          <w:szCs w:val="23"/>
        </w:rPr>
        <w:t xml:space="preserve">Your three roles, how delivery is rebuilt for this context, what a week could look like, and the rhythm of the twelve weeks.</w:t>
      </w:r>
    </w:p>
    <w:p>
      <w:r>
        <w:br w:type="page"/>
      </w:r>
    </w:p>
    <w:p>
      <w:pPr>
        <w:pStyle w:val="Heading2"/>
        <w:keepNext/>
        <w:spacing w:after="100" w:before="280"/>
      </w:pPr>
      <w:r>
        <w:rPr>
          <w:b/>
          <w:bCs/>
          <w:color w:val="7A3B69"/>
          <w:sz w:val="28"/>
          <w:szCs w:val="28"/>
        </w:rPr>
        <w:t xml:space="preserve">1.0  What this programme is for</w:t>
      </w:r>
    </w:p>
    <w:p>
      <w:pPr>
        <w:spacing w:after="120" w:before="0" w:line="300"/>
      </w:pPr>
      <w:r>
        <w:rPr>
          <w:b/>
          <w:bCs/>
          <w:color w:val="5A6473"/>
          <w:sz w:val="21"/>
          <w:szCs w:val="21"/>
        </w:rPr>
        <w:t xml:space="preserve">Read this first. Everything after it is how.</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pStyle w:val="Heading3"/>
        <w:keepNext/>
        <w:spacing w:after="80" w:before="220"/>
      </w:pPr>
      <w:r>
        <w:rPr>
          <w:b/>
          <w:bCs/>
          <w:color w:val="1F3A5F"/>
          <w:sz w:val="24"/>
          <w:szCs w:val="24"/>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pStyle w:val="Heading3"/>
        <w:keepNext/>
        <w:spacing w:after="80" w:before="220"/>
      </w:pPr>
      <w:r>
        <w:rPr>
          <w:b/>
          <w:bCs/>
          <w:color w:val="1F3A5F"/>
          <w:sz w:val="24"/>
          <w:szCs w:val="24"/>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pStyle w:val="Heading3"/>
        <w:keepNext/>
        <w:spacing w:after="80" w:before="220"/>
      </w:pPr>
      <w:r>
        <w:rPr>
          <w:b/>
          <w:bCs/>
          <w:color w:val="1F3A5F"/>
          <w:sz w:val="24"/>
          <w:szCs w:val="24"/>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r>
        <w:br w:type="page"/>
      </w:r>
    </w:p>
    <w:p>
      <w:pPr>
        <w:pStyle w:val="Heading2"/>
        <w:keepNext/>
        <w:spacing w:after="100" w:before="280"/>
      </w:pPr>
      <w:r>
        <w:rPr>
          <w:b/>
          <w:bCs/>
          <w:color w:val="7A3B69"/>
          <w:sz w:val="28"/>
          <w:szCs w:val="28"/>
        </w:rPr>
        <w:t xml:space="preserve">1.1  Your three roles</w:t>
      </w:r>
    </w:p>
    <w:p>
      <w:pPr>
        <w:spacing w:after="140" w:before="0" w:line="30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 3 hours in-person and 2 hours independent per week, per component — delivering oral and visual first, in the language you share with learners.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 a supported one at Week 6, a final one at Week 12. Part 3.</w:t>
            </w:r>
          </w:p>
        </w:tc>
      </w:tr>
    </w:tbl>
    <w:p>
      <w:pPr>
        <w:pStyle w:val="Heading2"/>
        <w:keepNext/>
        <w:spacing w:after="100" w:before="280"/>
      </w:pPr>
      <w:r>
        <w:rPr>
          <w:b/>
          <w:bCs/>
          <w:color w:val="7A3B69"/>
          <w:sz w:val="28"/>
          <w:szCs w:val="28"/>
        </w:rPr>
        <w:t xml:space="preserve">1.2  How we deliver here</w:t>
      </w:r>
    </w:p>
    <w:p>
      <w:pPr>
        <w:spacing w:after="140" w:before="0" w:line="300"/>
      </w:pPr>
      <w:r>
        <w:rPr>
          <w:sz w:val="22"/>
          <w:szCs w:val="22"/>
        </w:rPr>
        <w:t xml:space="preserve">Three things are rebuilt for this context. Hold all three, in every session.</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Most learners are not yet literate in any language. Deliver from the plain-English guide in the language you use with learners; learners draw, colour, and speak rather than read and write. The materials are built for this — lean on the say-aloud guidance rather than assuming subject expertise.</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2"/>
        <w:keepNext/>
        <w:spacing w:after="100" w:before="280"/>
      </w:pPr>
      <w:r>
        <w:rPr>
          <w:b/>
          <w:bCs/>
          <w:color w:val="7A3B69"/>
          <w:sz w:val="28"/>
          <w:szCs w:val="28"/>
        </w:rPr>
        <w:t xml:space="preserve">1.3  What a week could look like</w:t>
      </w:r>
    </w:p>
    <w:p>
      <w:pPr>
        <w:spacing w:after="140" w:before="0" w:line="30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w:t>
      </w:r>
    </w:p>
    <w:p>
      <w:pPr>
        <w:pStyle w:val="Heading2"/>
        <w:keepNext/>
        <w:spacing w:after="100" w:before="280"/>
      </w:pPr>
      <w:r>
        <w:rPr>
          <w:b/>
          <w:bCs/>
          <w:color w:val="7A3B69"/>
          <w:sz w:val="28"/>
          <w:szCs w:val="28"/>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with Amala  →  Weeks 7–11 learn  →  Week 12 final judgement, then Amala moderation.</w:t>
            </w:r>
          </w:p>
        </w:tc>
      </w:tr>
    </w:tbl>
    <w:p>
      <w:pPr>
        <w:pStyle w:val="Heading2"/>
        <w:keepNext/>
        <w:spacing w:after="100" w:before="280"/>
      </w:pPr>
      <w:r>
        <w:rPr>
          <w:b/>
          <w:bCs/>
          <w:color w:val="7A3B69"/>
          <w:sz w:val="28"/>
          <w:szCs w:val="28"/>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Weighing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Weighing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2"/>
        <w:keepNext/>
        <w:spacing w:after="100" w:before="280"/>
      </w:pPr>
      <w:r>
        <w:rPr>
          <w:b/>
          <w:bCs/>
          <w:color w:val="7A3B69"/>
          <w:sz w:val="28"/>
          <w:szCs w:val="28"/>
        </w:rPr>
        <w:t xml:space="preserve">1.6  The showcase — one closing for the whole programme</w:t>
      </w:r>
    </w:p>
    <w:p>
      <w:pPr>
        <w:spacing w:after="140" w:before="0" w:line="300"/>
      </w:pPr>
      <w:r>
        <w:rPr>
          <w:b/>
          <w:bCs/>
          <w:color w:val="5A6473"/>
          <w:sz w:val="22"/>
          <w:szCs w:val="22"/>
        </w:rPr>
        <w:t xml:space="preserve">The programme's single closing event, in the last week: learners present their group's research to an audience, introduce themselves in English, and name one way they have grown. Every learner invites at least one person themselves — which is the point as much as the presenting is.</w:t>
      </w:r>
    </w:p>
    <w:p>
      <w:pPr>
        <w:pStyle w:val="Heading2"/>
        <w:keepNext/>
        <w:spacing w:after="100" w:before="280"/>
      </w:pPr>
      <w:r>
        <w:rPr>
          <w:b/>
          <w:bCs/>
          <w:color w:val="7A3B69"/>
          <w:sz w:val="28"/>
          <w:szCs w:val="28"/>
        </w:rPr>
        <w:t xml:space="preserve">Why one showcase and not three</w:t>
      </w:r>
    </w:p>
    <w:p>
      <w:pPr>
        <w:spacing w:after="140" w:before="0" w:line="300"/>
      </w:pPr>
      <w:r>
        <w:rPr>
          <w:sz w:val="22"/>
          <w:szCs w:val="22"/>
        </w:rPr>
        <w:t xml:space="preserve">Your three unit plans each end with a sharing, and the week map lands all three in the last week. Running them separately is three occasions to organise, three audiences to gather, and three chances for a learner to be absent for their own ending. Run once, together, they reinforce each other: the same person shows what their group found out, says who they are in English, and names how they have grown. That is the whole programme in one learner, in one room, in one afternoon — and it is the only time anyone gets to see it whole.</w:t>
      </w:r>
    </w:p>
    <w:p>
      <w:pPr>
        <w:spacing w:after="140" w:before="0" w:line="300"/>
      </w:pPr>
      <w:r>
        <w:rPr>
          <w:sz w:val="22"/>
          <w:szCs w:val="22"/>
        </w:rPr>
        <w:t xml:space="preserve">The hours are already in your plans. Take the Research Project's "Share our findings" block as the spine, and fold in the My Voice sharing and the Agency in Learning celebration rather than adding time. Preparation happens in the sessions of the week before, which the three plans already allow for.</w:t>
      </w:r>
    </w:p>
    <w:p>
      <w:pPr>
        <w:pStyle w:val="Heading2"/>
        <w:keepNext/>
        <w:spacing w:after="100" w:before="280"/>
      </w:pPr>
      <w:r>
        <w:rPr>
          <w:b/>
          <w:bCs/>
          <w:color w:val="7A3B69"/>
          <w:sz w:val="28"/>
          <w:szCs w:val="28"/>
        </w:rPr>
        <w:t xml:space="preserve">The invitation is the point</w:t>
      </w:r>
    </w:p>
    <w:p>
      <w:pPr>
        <w:spacing w:after="140" w:before="0" w:line="300"/>
      </w:pPr>
      <w:r>
        <w:rPr>
          <w:sz w:val="22"/>
          <w:szCs w:val="22"/>
        </w:rPr>
        <w:t xml:space="preserve">The Research Project already requires learners to share with an audience they chose. What this adds is that each learner chooses and invites at least one person THEMSELVES, and does the asking.</w:t>
      </w:r>
    </w:p>
    <w:p>
      <w:pPr>
        <w:spacing w:after="140" w:before="0" w:line="300"/>
      </w:pPr>
      <w:r>
        <w:rPr>
          <w:sz w:val="22"/>
          <w:szCs w:val="22"/>
        </w:rPr>
        <w:t xml:space="preserve">Do not do this for them. A facilitator who quietly invites everyone's families has organised a nice event and removed the only part of it that builds agency. The learner decides who, the learner asks, and the learner hands over the invitation. Give them a slip of paper with the date and time on it — they can draw on it, and it lets someone who cannot read still be told correctly by someone else.</w:t>
      </w:r>
    </w:p>
    <w:p>
      <w:pPr>
        <w:spacing w:after="140" w:before="0" w:line="300"/>
      </w:pPr>
      <w:r>
        <w:rPr>
          <w:sz w:val="22"/>
          <w:szCs w:val="22"/>
        </w:rPr>
        <w:t xml:space="preserve">Practise the asking in a session beforehand, in pairs, the same way the English component practises any other real-world use of language. Learners who are shy about it usually settle once they have said the words aloud twice.</w:t>
      </w:r>
    </w:p>
    <w:p>
      <w:pPr>
        <w:pStyle w:val="Heading2"/>
        <w:keepNext/>
        <w:spacing w:after="100" w:before="280"/>
      </w:pPr>
      <w:r>
        <w:rPr>
          <w:b/>
          <w:bCs/>
          <w:color w:val="7A3B69"/>
          <w:sz w:val="28"/>
          <w:szCs w:val="28"/>
        </w:rPr>
        <w:t xml:space="preserve">Running it</w:t>
      </w:r>
    </w:p>
    <w:p>
      <w:pPr>
        <w:pStyle w:val="ListParagraph"/>
        <w:numPr>
          <w:ilvl w:val="0"/>
          <w:numId w:val="1"/>
        </w:numPr>
        <w:spacing w:after="80" w:line="300"/>
      </w:pPr>
      <w:r>
        <w:rPr>
          <w:sz w:val="22"/>
          <w:szCs w:val="22"/>
        </w:rPr>
        <w:t xml:space="preserve">Set the room so the work is on the walls before anyone arrives. Guests who walk into a room of</w:t>
      </w:r>
    </w:p>
    <w:p>
      <w:pPr>
        <w:spacing w:after="140" w:before="0" w:line="300"/>
      </w:pPr>
      <w:r>
        <w:rPr>
          <w:sz w:val="22"/>
          <w:szCs w:val="22"/>
        </w:rPr>
        <w:t xml:space="preserve">posters understand what happened here before a word is said.</w:t>
      </w:r>
    </w:p>
    <w:p>
      <w:pPr>
        <w:pStyle w:val="ListParagraph"/>
        <w:numPr>
          <w:ilvl w:val="0"/>
          <w:numId w:val="1"/>
        </w:numPr>
        <w:spacing w:after="80" w:line="300"/>
      </w:pPr>
      <w:r>
        <w:rPr>
          <w:sz w:val="22"/>
          <w:szCs w:val="22"/>
        </w:rPr>
        <w:t xml:space="preserve">Open by saying what the programme was for — in one sentence, in the language everyone shares —</w:t>
      </w:r>
    </w:p>
    <w:p>
      <w:pPr>
        <w:spacing w:after="140" w:before="0" w:line="300"/>
      </w:pPr>
      <w:r>
        <w:rPr>
          <w:sz w:val="22"/>
          <w:szCs w:val="22"/>
        </w:rPr>
        <w:t xml:space="preserve">so the guests know what they are looking at.</w:t>
      </w:r>
    </w:p>
    <w:p>
      <w:pPr>
        <w:pStyle w:val="ListParagraph"/>
        <w:numPr>
          <w:ilvl w:val="0"/>
          <w:numId w:val="1"/>
        </w:numPr>
        <w:spacing w:after="80" w:line="300"/>
      </w:pPr>
      <w:r>
        <w:rPr>
          <w:sz w:val="22"/>
          <w:szCs w:val="22"/>
        </w:rPr>
        <w:t xml:space="preserve">Groups first, then individuals. The research presentations warm the room up; the personal</w:t>
      </w:r>
    </w:p>
    <w:p>
      <w:pPr>
        <w:spacing w:after="140" w:before="0" w:line="300"/>
      </w:pPr>
      <w:r>
        <w:rPr>
          <w:sz w:val="22"/>
          <w:szCs w:val="22"/>
        </w:rPr>
        <w:t xml:space="preserve">cards are easier after that.</w:t>
      </w:r>
    </w:p>
    <w:p>
      <w:pPr>
        <w:pStyle w:val="ListParagraph"/>
        <w:numPr>
          <w:ilvl w:val="0"/>
          <w:numId w:val="1"/>
        </w:numPr>
        <w:spacing w:after="80" w:line="300"/>
      </w:pPr>
      <w:r>
        <w:rPr>
          <w:sz w:val="22"/>
          <w:szCs w:val="22"/>
        </w:rPr>
        <w:t xml:space="preserve">No correction during sharing, of English or of anything else. Applaud everything.</w:t>
      </w:r>
    </w:p>
    <w:p>
      <w:pPr>
        <w:pStyle w:val="ListParagraph"/>
        <w:numPr>
          <w:ilvl w:val="0"/>
          <w:numId w:val="1"/>
        </w:numPr>
        <w:spacing w:after="80" w:line="300"/>
      </w:pPr>
      <w:r>
        <w:rPr>
          <w:sz w:val="22"/>
          <w:szCs w:val="22"/>
        </w:rPr>
        <w:t xml:space="preserve">One kind response from a listener after each piece. "One thing I will remember" is enough, and</w:t>
      </w:r>
    </w:p>
    <w:p>
      <w:pPr>
        <w:spacing w:after="140" w:before="0" w:line="300"/>
      </w:pPr>
      <w:r>
        <w:rPr>
          <w:sz w:val="22"/>
          <w:szCs w:val="22"/>
        </w:rPr>
        <w:t xml:space="preserve">it stops the room going quiet on a nervous learner.</w:t>
      </w:r>
    </w:p>
    <w:p>
      <w:pPr>
        <w:pStyle w:val="ListParagraph"/>
        <w:numPr>
          <w:ilvl w:val="0"/>
          <w:numId w:val="1"/>
        </w:numPr>
        <w:spacing w:after="80" w:line="300"/>
      </w:pPr>
      <w:r>
        <w:rPr>
          <w:sz w:val="22"/>
          <w:szCs w:val="22"/>
        </w:rPr>
        <w:t xml:space="preserve">Take the register of who came. You will want it for the mentoring conversations afterwards,</w:t>
      </w:r>
    </w:p>
    <w:p>
      <w:pPr>
        <w:spacing w:after="140" w:before="0" w:line="300"/>
      </w:pPr>
      <w:r>
        <w:rPr>
          <w:sz w:val="22"/>
          <w:szCs w:val="22"/>
        </w:rPr>
        <w:t xml:space="preserve">and NRC will want it.</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Same-gender grouping and seating wherever girls' participation depends on it. Confirm the plan with</w:t>
      </w:r>
    </w:p>
    <w:p>
      <w:pPr>
        <w:spacing w:after="140" w:before="0" w:line="300"/>
      </w:pPr>
      <w:r>
        <w:rPr>
          <w:sz w:val="22"/>
          <w:szCs w:val="22"/>
        </w:rPr>
        <w:t xml:space="preserve">your coordinator before invitations go out, not after.</w:t>
      </w:r>
    </w:p>
    <w:p>
      <w:pPr>
        <w:pStyle w:val="ListParagraph"/>
        <w:numPr>
          <w:ilvl w:val="0"/>
          <w:numId w:val="1"/>
        </w:numPr>
        <w:spacing w:after="80" w:line="300"/>
      </w:pPr>
      <w:r>
        <w:rPr>
          <w:sz w:val="22"/>
          <w:szCs w:val="22"/>
        </w:rPr>
        <w:t xml:space="preserve">No learner is ever required to present, to be looked at, or to invite anyone. All four fallbacks on</w:t>
      </w:r>
    </w:p>
    <w:p>
      <w:pPr>
        <w:spacing w:after="140" w:before="0" w:line="300"/>
      </w:pPr>
      <w:r>
        <w:rPr>
          <w:sz w:val="22"/>
          <w:szCs w:val="22"/>
        </w:rPr>
        <w:t xml:space="preserve">the learner page are full successes, and say so out loud before the day.</w:t>
      </w:r>
    </w:p>
    <w:p>
      <w:pPr>
        <w:pStyle w:val="ListParagraph"/>
        <w:numPr>
          <w:ilvl w:val="0"/>
          <w:numId w:val="1"/>
        </w:numPr>
        <w:spacing w:after="80" w:line="300"/>
      </w:pPr>
      <w:r>
        <w:rPr>
          <w:sz w:val="22"/>
          <w:szCs w:val="22"/>
        </w:rPr>
        <w:t xml:space="preserve">Think about who is being invited into the learning space, and clear it with your coordinator against</w:t>
      </w:r>
    </w:p>
    <w:p>
      <w:pPr>
        <w:spacing w:after="140" w:before="0" w:line="300"/>
      </w:pPr>
      <w:r>
        <w:rPr>
          <w:sz w:val="22"/>
          <w:szCs w:val="22"/>
        </w:rPr>
        <w:t xml:space="preserve">NRC's Code of Conduct. Guests are not left alone with learners.</w:t>
      </w:r>
    </w:p>
    <w:p>
      <w:pPr>
        <w:pStyle w:val="ListParagraph"/>
        <w:numPr>
          <w:ilvl w:val="0"/>
          <w:numId w:val="1"/>
        </w:numPr>
        <w:spacing w:after="80" w:line="300"/>
      </w:pPr>
      <w:r>
        <w:rPr>
          <w:sz w:val="22"/>
          <w:szCs w:val="22"/>
        </w:rPr>
        <w:t xml:space="preserve">The research touches landslides and lost shelters. Some guests will have lost more than the</w:t>
      </w:r>
    </w:p>
    <w:p>
      <w:pPr>
        <w:spacing w:after="140" w:before="0" w:line="300"/>
      </w:pPr>
      <w:r>
        <w:rPr>
          <w:sz w:val="22"/>
          <w:szCs w:val="22"/>
        </w:rPr>
        <w:t xml:space="preserve">learners have. Keep the tone hopeful — the land is greening again — and be ready to step a conversation back.</w:t>
      </w:r>
    </w:p>
    <w:p>
      <w:pPr>
        <w:pStyle w:val="ListParagraph"/>
        <w:numPr>
          <w:ilvl w:val="0"/>
          <w:numId w:val="1"/>
        </w:numPr>
        <w:spacing w:after="80" w:line="300"/>
      </w:pPr>
      <w:r>
        <w:rPr>
          <w:sz w:val="22"/>
          <w:szCs w:val="22"/>
        </w:rPr>
        <w:t xml:space="preserve">A learner with nobody to invite must never be visible as the learner with nobody to invite. Talk to</w:t>
      </w:r>
    </w:p>
    <w:p>
      <w:pPr>
        <w:spacing w:after="140" w:before="0" w:line="300"/>
      </w:pPr>
      <w:r>
        <w:rPr>
          <w:sz w:val="22"/>
          <w:szCs w:val="22"/>
        </w:rPr>
        <w:t xml:space="preserve">them privately beforehand, and offer a mentor, another facilitator, or a member of NRC staff as the person who came for them.</w:t>
      </w:r>
    </w:p>
    <w:p>
      <w:pPr>
        <w:pStyle w:val="Heading2"/>
        <w:keepNext/>
        <w:spacing w:after="100" w:before="280"/>
      </w:pPr>
      <w:r>
        <w:rPr>
          <w:b/>
          <w:bCs/>
          <w:color w:val="7A3B69"/>
          <w:sz w:val="28"/>
          <w:szCs w:val="28"/>
        </w:rPr>
        <w:t xml:space="preserve">What it gives you as an assessor</w:t>
      </w:r>
    </w:p>
    <w:p>
      <w:pPr>
        <w:spacing w:after="140" w:before="0" w:line="300"/>
      </w:pPr>
      <w:r>
        <w:rPr>
          <w:sz w:val="22"/>
          <w:szCs w:val="22"/>
        </w:rPr>
        <w:t xml:space="preserve">This is dense evidence and it is your last chance to gather it. In one afternoon you see how a learner talks about their research and answers a question about it (FSI1), how they use their English with someone outside the learning space, and how they account for their own growth (FSL2). Take notes the same day — not from memory a week later.</w:t>
      </w:r>
    </w:p>
    <w:p>
      <w:pPr>
        <w:keepNext/>
        <w:spacing w:after="60" w:before="180"/>
      </w:pPr>
      <w:r>
        <w:rPr>
          <w:b/>
          <w:bCs/>
          <w:color w:val="6E7A2E"/>
          <w:spacing w:val="24"/>
          <w:sz w:val="17"/>
          <w:szCs w:val="17"/>
        </w:rPr>
        <w:t xml:space="preserve">WHAT THE LEARNERS ARE TOLD</w:t>
      </w:r>
    </w:p>
    <w:p>
      <w:pPr>
        <w:pStyle w:val="Heading2"/>
        <w:keepNext/>
        <w:spacing w:after="100" w:before="280"/>
      </w:pPr>
      <w:r>
        <w:rPr>
          <w:b/>
          <w:bCs/>
          <w:color w:val="7A3B69"/>
          <w:sz w:val="28"/>
          <w:szCs w:val="28"/>
        </w:rPr>
        <w:t xml:space="preserve">Our showcase</w:t>
      </w:r>
    </w:p>
    <w:p>
      <w:pPr>
        <w:spacing w:after="140" w:before="0" w:line="300"/>
      </w:pPr>
      <w:r>
        <w:rPr>
          <w:sz w:val="22"/>
          <w:szCs w:val="22"/>
        </w:rPr>
        <w:t xml:space="preserve">In our last week we hold one sharing for everything we have done. It is not a test. Nobody is marked on it, and nobody has to do a part of it they do not want to do.</w:t>
      </w:r>
    </w:p>
    <w:p>
      <w:pPr>
        <w:pStyle w:val="Heading3"/>
        <w:keepNext/>
        <w:spacing w:after="80" w:before="220"/>
      </w:pPr>
      <w:r>
        <w:rPr>
          <w:b/>
          <w:bCs/>
          <w:color w:val="1F3A5F"/>
          <w:sz w:val="24"/>
          <w:szCs w:val="24"/>
        </w:rPr>
        <w:t xml:space="preserve">The three things</w:t>
      </w:r>
    </w:p>
    <w:p>
      <w:pPr>
        <w:spacing w:after="140" w:before="0" w:line="300"/>
      </w:pPr>
      <w:r>
        <w:rPr>
          <w:sz w:val="22"/>
          <w:szCs w:val="22"/>
        </w:rPr>
        <w:t xml:space="preserve">1. Our research. With your group, you show what we found out about our hills and trees, and what we think it means. You made this — a poster, a picture story, a talk, a role-play. 2. My voice. You show your "My Name, My Voice" card and say your introduction in English. A few true words is a full success. 3. How I have grown. You say or show one way you are different from the person who started this programme. One thing. It can be small.</w:t>
      </w:r>
    </w:p>
    <w:p>
      <w:pPr>
        <w:pStyle w:val="Heading3"/>
        <w:keepNext/>
        <w:spacing w:after="80" w:before="220"/>
      </w:pPr>
      <w:r>
        <w:rPr>
          <w:b/>
          <w:bCs/>
          <w:color w:val="1F3A5F"/>
          <w:sz w:val="24"/>
          <w:szCs w:val="24"/>
        </w:rPr>
        <w:t xml:space="preserve">The person you invite</w:t>
      </w:r>
    </w:p>
    <w:p>
      <w:pPr>
        <w:spacing w:after="140" w:before="0" w:line="300"/>
      </w:pPr>
      <w:r>
        <w:rPr>
          <w:sz w:val="22"/>
          <w:szCs w:val="22"/>
        </w:rPr>
        <w:t xml:space="preserve">You choose one person to invite, and you invite them yourself.</w:t>
      </w:r>
    </w:p>
    <w:p>
      <w:pPr>
        <w:spacing w:after="140" w:before="0" w:line="300"/>
      </w:pPr>
      <w:r>
        <w:rPr>
          <w:sz w:val="22"/>
          <w:szCs w:val="22"/>
        </w:rPr>
        <w:t xml:space="preserve">It can be anyone: someone at home, a neighbour, a friend, a teacher, someone who helped you with your goal, someone you interviewed for our research. Think about who you would most like to see this — or who most needs to hear what we found out about the hills.</w:t>
      </w:r>
    </w:p>
    <w:p>
      <w:pPr>
        <w:spacing w:after="140" w:before="0" w:line="300"/>
      </w:pPr>
      <w:r>
        <w:rPr>
          <w:sz w:val="22"/>
          <w:szCs w:val="22"/>
        </w:rPr>
        <w:t xml:space="preserve">Your facilitator will help you with what to say when you ask, and will give you something to hand them with the day and the time on it. If the person you want cannot come, invite someone else — and if you would rather not invite anyone, that is allowed too, and nobody will ask you why.</w:t>
      </w:r>
    </w:p>
    <w:p>
      <w:pPr>
        <w:pStyle w:val="Heading3"/>
        <w:keepNext/>
        <w:spacing w:after="80" w:before="220"/>
      </w:pPr>
      <w:r>
        <w:rPr>
          <w:b/>
          <w:bCs/>
          <w:color w:val="1F3A5F"/>
          <w:sz w:val="24"/>
          <w:szCs w:val="24"/>
        </w:rPr>
        <w:t xml:space="preserve">What to say when you invite someone</w:t>
      </w:r>
    </w:p>
    <w:p>
      <w:pPr>
        <w:spacing w:after="140" w:before="0" w:line="300"/>
      </w:pPr>
      <w:r>
        <w:rPr>
          <w:sz w:val="22"/>
          <w:szCs w:val="22"/>
        </w:rPr>
        <w:t xml:space="preserve">Practise it once with a partner first. Something like:</w:t>
      </w:r>
    </w:p>
    <w:p>
      <w:pPr>
        <w:spacing w:after="140" w:before="0" w:line="300"/>
      </w:pPr>
      <w:r>
        <w:rPr>
          <w:sz w:val="22"/>
          <w:szCs w:val="22"/>
        </w:rPr>
        <w:t xml:space="preserve">&gt; "I have been learning for twelve weeks. On ____ we are showing what we did. I would like you to &gt; come. It takes about two hours."</w:t>
      </w:r>
    </w:p>
    <w:p>
      <w:pPr>
        <w:pStyle w:val="Heading3"/>
        <w:keepNext/>
        <w:spacing w:after="80" w:before="220"/>
      </w:pPr>
      <w:r>
        <w:rPr>
          <w:b/>
          <w:bCs/>
          <w:color w:val="1F3A5F"/>
          <w:sz w:val="24"/>
          <w:szCs w:val="24"/>
        </w:rPr>
        <w:t xml:space="preserve">If sharing in front of everyone is too much</w:t>
      </w:r>
    </w:p>
    <w:p>
      <w:pPr>
        <w:spacing w:after="140" w:before="0" w:line="300"/>
      </w:pPr>
      <w:r>
        <w:rPr>
          <w:sz w:val="22"/>
          <w:szCs w:val="22"/>
        </w:rPr>
        <w:t xml:space="preserve">It still counts if you:</w:t>
      </w:r>
    </w:p>
    <w:p>
      <w:pPr>
        <w:pStyle w:val="ListParagraph"/>
        <w:numPr>
          <w:ilvl w:val="0"/>
          <w:numId w:val="1"/>
        </w:numPr>
        <w:spacing w:after="80" w:line="300"/>
      </w:pPr>
      <w:r>
        <w:rPr>
          <w:sz w:val="22"/>
          <w:szCs w:val="22"/>
        </w:rPr>
        <w:t xml:space="preserve">present to a small group instead of the whole room,</w:t>
      </w:r>
    </w:p>
    <w:p>
      <w:pPr>
        <w:pStyle w:val="ListParagraph"/>
        <w:numPr>
          <w:ilvl w:val="0"/>
          <w:numId w:val="1"/>
        </w:numPr>
        <w:spacing w:after="80" w:line="300"/>
      </w:pPr>
      <w:r>
        <w:rPr>
          <w:sz w:val="22"/>
          <w:szCs w:val="22"/>
        </w:rPr>
        <w:t xml:space="preserve">present with your group and let someone else do the talking,</w:t>
      </w:r>
    </w:p>
    <w:p>
      <w:pPr>
        <w:pStyle w:val="ListParagraph"/>
        <w:numPr>
          <w:ilvl w:val="0"/>
          <w:numId w:val="1"/>
        </w:numPr>
        <w:spacing w:after="80" w:line="300"/>
      </w:pPr>
      <w:r>
        <w:rPr>
          <w:sz w:val="22"/>
          <w:szCs w:val="22"/>
        </w:rPr>
        <w:t xml:space="preserve">show your card to your mentor and the person you invited, and no one else,</w:t>
      </w:r>
    </w:p>
    <w:p>
      <w:pPr>
        <w:pStyle w:val="ListParagraph"/>
        <w:numPr>
          <w:ilvl w:val="0"/>
          <w:numId w:val="1"/>
        </w:numPr>
        <w:spacing w:after="80" w:line="300"/>
      </w:pPr>
      <w:r>
        <w:rPr>
          <w:sz w:val="22"/>
          <w:szCs w:val="22"/>
        </w:rPr>
        <w:t xml:space="preserve">or ask your facilitator to read your words for you while you hold your work.</w:t>
      </w:r>
    </w:p>
    <w:p>
      <w:r>
        <w:br w:type="page"/>
      </w:r>
    </w:p>
    <w:p>
      <w:pPr>
        <w:pStyle w:val="Heading2"/>
        <w:keepNext/>
        <w:spacing w:after="100" w:before="280"/>
      </w:pPr>
      <w:r>
        <w:rPr>
          <w:b/>
          <w:bCs/>
          <w:color w:val="7A3B69"/>
          <w:sz w:val="28"/>
          <w:szCs w:val="28"/>
        </w:rPr>
        <w:t xml:space="preserve">1.7  Before Week 1 —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80" w:line="300"/>
      </w:pPr>
      <w:r>
        <w:rPr>
          <w:sz w:val="22"/>
          <w:szCs w:val="22"/>
        </w:rPr>
        <w:t xml:space="preserve">Learner books printed — one per learner if you can, one per two or three if you cannot, or a plan for displaying one copy. Agree which with your coordinator before Week 1.</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Assessment records copied, one per learner (Part 9), with learners’ names on them.</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1800" w:line="300"/>
      </w:pPr>
      <w:r>
        <w:rPr>
          <w:b/>
          <w:bCs/>
          <w:color w:val="6E7A2E"/>
          <w:sz w:val="24"/>
          <w:szCs w:val="24"/>
        </w:rPr>
        <w:t xml:space="preserve">PART 2</w:t>
      </w:r>
    </w:p>
    <w:p>
      <w:pPr>
        <w:pStyle w:val="Heading1"/>
        <w:spacing w:after="120"/>
      </w:pPr>
      <w:r>
        <w:rPr>
          <w:b/>
          <w:bCs/>
          <w:color w:val="1F3A5F"/>
          <w:sz w:val="44"/>
          <w:szCs w:val="44"/>
        </w:rPr>
        <w:t xml:space="preserve">Part 2 — Mentoring and wellbeing</w:t>
      </w:r>
    </w:p>
    <w:p>
      <w:pPr>
        <w:spacing w:after="140" w:before="0" w:line="300"/>
      </w:pPr>
      <w:r>
        <w:rPr>
          <w:color w:val="5A6473"/>
          <w:sz w:val="23"/>
          <w:szCs w:val="23"/>
        </w:rPr>
        <w:t xml:space="preserve">The spine of wellbeing support: where a learner is known as a person, where distress is noticed early, and where the goals set in Agency in Learning are kept alive. It adds no hours — it runs inside the in-person time you already have.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2"/>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the mentor moves on the Educators pages; the notes below say how those moves are held in the Cox's Bazar context, where displacement, protection risks, and interrupted schooling shape every conversation.</w:t>
      </w:r>
    </w:p>
    <w:p>
      <w:pPr>
        <w:pStyle w:val="Heading3"/>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3"/>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2"/>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3"/>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3"/>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3"/>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3"/>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3"/>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3"/>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2"/>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3"/>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3"/>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3"/>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3"/>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3"/>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3"/>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3"/>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3"/>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2"/>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3"/>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3"/>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3"/>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3"/>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3"/>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3"/>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2"/>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3"/>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3"/>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3"/>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3"/>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3"/>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3"/>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2"/>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3"/>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4"/>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4"/>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4"/>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4"/>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3"/>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4"/>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3"/>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4"/>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4"/>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4"/>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3"/>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4"/>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2"/>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3"/>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3"/>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3"/>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the whole opening.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purpose of the next step after an absence is not progress; it is proving to the learner that they are still in this.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3"/>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3"/>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2"/>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3"/>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3"/>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3"/>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3"/>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3"/>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 which is the point, and shows up in the goals they set</w:t>
      </w:r>
    </w:p>
    <w:p>
      <w:pPr>
        <w:spacing w:after="140" w:before="0" w:line="300"/>
      </w:pPr>
      <w:r>
        <w:rPr>
          <w:sz w:val="22"/>
          <w:szCs w:val="22"/>
        </w:rPr>
        <w:t xml:space="preserve">next, so watch for a goal getting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2"/>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3"/>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3"/>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you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3"/>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3"/>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4"/>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4"/>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4"/>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2"/>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3"/>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3"/>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Specific beats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3"/>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It is not kindness; it is a debt that comes due after you have stopped seeing them, and it teaches a learner that adults' encouragement is worthless.</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3"/>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3"/>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1800" w:line="300"/>
      </w:pPr>
      <w:r>
        <w:rPr>
          <w:b/>
          <w:bCs/>
          <w:color w:val="6E7A2E"/>
          <w:sz w:val="24"/>
          <w:szCs w:val="24"/>
        </w:rPr>
        <w:t xml:space="preserve">PART 3</w:t>
      </w:r>
    </w:p>
    <w:p>
      <w:pPr>
        <w:pStyle w:val="Heading1"/>
        <w:spacing w:after="120"/>
      </w:pPr>
      <w:r>
        <w:rPr>
          <w:b/>
          <w:bCs/>
          <w:color w:val="1F3A5F"/>
          <w:sz w:val="44"/>
          <w:szCs w:val="44"/>
        </w:rPr>
        <w:t xml:space="preserve">Part 3 — Assessing the two competencies</w:t>
      </w:r>
    </w:p>
    <w:p>
      <w:pPr>
        <w:spacing w:after="140" w:before="0" w:line="300"/>
      </w:pPr>
      <w:r>
        <w:rPr>
          <w:color w:val="5A6473"/>
          <w:sz w:val="23"/>
          <w:szCs w:val="23"/>
        </w:rPr>
        <w:t xml:space="preserve">Your judgement, across varied evidence, gathered as you teach — a supported judgement at Week 6 and a final one at Week 12.</w:t>
      </w:r>
    </w:p>
    <w:p>
      <w:r>
        <w:br w:type="page"/>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Assessment is your judgement across varied evidence — not a single test — and it is gathered as you teach.</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Where it is developed</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 Record in Part 9A.</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 Record in Part 9B.</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(Part 7B) is how you track it.</w:t>
      </w:r>
    </w:p>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MOST LEARNERS WILL LOOK LOW AT WEEK 6 — THAT IS EXPECTED</w:t>
            </w:r>
          </w:p>
          <w:p>
            <w:pPr>
              <w:spacing w:after="90" w:before="0" w:line="300"/>
            </w:pPr>
            <w:r>
              <w:rPr>
                <w:sz w:val="21"/>
                <w:szCs w:val="21"/>
              </w:rPr>
              <w:t xml:space="preserve">By Week 6 a learner has usually SET a goal and made a plan, but the goal-pursuit weeks are still ahead: most of the tracked steps happen in Weeks 7 to 11. So expect a lot of Theorist on Set and Pursue Goals at Week 6, and treat it as normal, not as a warning sign.</w:t>
            </w:r>
          </w:p>
          <w:p>
            <w:pPr>
              <w:spacing w:after="90" w:before="0" w:line="300"/>
            </w:pPr>
            <w:r>
              <w:rPr>
                <w:sz w:val="21"/>
                <w:szCs w:val="21"/>
              </w:rPr>
              <w:t xml:space="preserve">The same is true of the Research Project. At Week 6 most groups are still gathering; the weighing, the insights and the output — where Investigate Real World Issues really shows — come afterwards.</w:t>
            </w:r>
          </w:p>
          <w:p>
            <w:pPr>
              <w:spacing w:after="0" w:before="0" w:line="300"/>
            </w:pPr>
            <w:r>
              <w:rPr>
                <w:sz w:val="21"/>
                <w:szCs w:val="21"/>
              </w:rPr>
              <w:t xml:space="preserve">Judge what is in front of you honestly and record it. Week 6 tells you where to put your support, not whether the cohort is going to pass.</w:t>
            </w:r>
          </w:p>
        </w:tc>
      </w:tr>
    </w:tbl>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40" w:before="0" w:line="300"/>
      </w:pPr>
      <w:r>
        <w:rPr>
          <w:sz w:val="22"/>
          <w:szCs w:val="22"/>
        </w:rPr>
        <w:t xml:space="preserve">Fill the record in Part 9 at both points. 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The scale, and the grade it produces</w:t>
      </w:r>
    </w:p>
    <w:p>
      <w:pPr>
        <w:spacing w:after="140" w:before="0" w:line="30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40" w:before="0" w:line="30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pStyle w:val="Heading3"/>
        <w:keepNext/>
        <w:spacing w:after="80" w:before="220"/>
      </w:pPr>
      <w:r>
        <w:rPr>
          <w:b/>
          <w:bCs/>
          <w:color w:val="1F3A5F"/>
          <w:sz w:val="24"/>
          <w:szCs w:val="24"/>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pPr>
        <w:pStyle w:val="Heading2"/>
        <w:keepNext/>
        <w:spacing w:after="100" w:before="280"/>
      </w:pPr>
      <w:r>
        <w:rPr>
          <w:b/>
          <w:bCs/>
          <w:color w:val="7A3B69"/>
          <w:sz w:val="28"/>
          <w:szCs w:val="28"/>
        </w:rPr>
        <w:t xml:space="preserve">3.5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Short of paper, or no printer? Share one book between two or three learners, or display one copy, and let learners work in ordinary notebooks. Say the page title aloud so their notebook keeps the same shape.</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1800" w:line="300"/>
      </w:pPr>
      <w:r>
        <w:rPr>
          <w:b/>
          <w:bCs/>
          <w:color w:val="6E7A2E"/>
          <w:sz w:val="24"/>
          <w:szCs w:val="24"/>
        </w:rPr>
        <w:t xml:space="preserve">PART 4</w:t>
      </w:r>
    </w:p>
    <w:p>
      <w:pPr>
        <w:pStyle w:val="Heading1"/>
        <w:spacing w:after="120"/>
      </w:pPr>
      <w:r>
        <w:rPr>
          <w:b/>
          <w:bCs/>
          <w:color w:val="1F3A5F"/>
          <w:sz w:val="44"/>
          <w:szCs w:val="44"/>
        </w:rPr>
        <w:t xml:space="preserve">Part 4 — Agency in Learning</w:t>
      </w:r>
    </w:p>
    <w:p>
      <w:pPr>
        <w:spacing w:after="140" w:before="0" w:line="300"/>
      </w:pPr>
      <w:r>
        <w:rPr>
          <w:color w:val="5A6473"/>
          <w:sz w:val="23"/>
          <w:szCs w:val="23"/>
        </w:rPr>
        <w:t xml:space="preserve">The full 50-hour plan —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w:t>
      </w:r>
    </w:p>
    <w:p>
      <w:pPr>
        <w:spacing w:after="140" w:before="0" w:line="300"/>
      </w:pPr>
      <w:r>
        <w:rPr>
          <w:sz w:val="22"/>
          <w:szCs w:val="22"/>
        </w:rPr>
        <w:t xml:space="preserve">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3"/>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3"/>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3"/>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3"/>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3"/>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2"/>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3"/>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4"/>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4"/>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4"/>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4"/>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4"/>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4"/>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4"/>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4"/>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4"/>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3"/>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marks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4"/>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4"/>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4"/>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4"/>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4"/>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4"/>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3"/>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4"/>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the top on day one. That is usually not arrogance — it is either not understanding the ladder, or not trusting you enough to be honest. Either way, do not correct them. Note it, and let the final marking do the work.</w:t>
      </w:r>
    </w:p>
    <w:p>
      <w:pPr>
        <w:pStyle w:val="Heading4"/>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4"/>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4"/>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4"/>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3"/>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4"/>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4"/>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4"/>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4"/>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name it: that is exactly what will happen with the goal you are about to set.</w:t>
      </w:r>
    </w:p>
    <w:p>
      <w:pPr>
        <w:pStyle w:val="Heading4"/>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4"/>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4"/>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4"/>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4"/>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4"/>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3"/>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4"/>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not to encourage. It is to widen the category.</w:t>
      </w:r>
    </w:p>
    <w:p>
      <w:pPr>
        <w:pStyle w:val="Heading4"/>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Describing beats praising, and this cohort has good defences against praise.</w:t>
      </w:r>
    </w:p>
    <w:p>
      <w:pPr>
        <w:pStyle w:val="Heading4"/>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4"/>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4"/>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4"/>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4"/>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4"/>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4"/>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4"/>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3"/>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4"/>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4"/>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4"/>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4"/>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4"/>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4"/>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4"/>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4"/>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3"/>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the rest of the component rests on. A learner with a weak goal will spend eight weeks failing at something that was never reachable, and will conclude the failure was theirs. Most of what looks like poor motivation later is a bad goal set here.</w:t>
      </w:r>
    </w:p>
    <w:p>
      <w:pPr>
        <w:pStyle w:val="Heading4"/>
        <w:keepNext/>
        <w:spacing w:after="80" w:before="220"/>
      </w:pPr>
      <w:r>
        <w:rPr>
          <w:b/>
          <w:bCs/>
          <w:color w:val="1F3A5F"/>
          <w:sz w:val="24"/>
          <w:szCs w:val="24"/>
        </w:rPr>
        <w:t xml:space="preserve">The four tests, and what each is actually guarding against</w:t>
      </w:r>
    </w:p>
    <w:p>
      <w:pPr>
        <w:spacing w:after="140" w:before="0" w:line="300"/>
      </w:pPr>
      <w:r>
        <w:rPr>
          <w:sz w:val="22"/>
          <w:szCs w:val="22"/>
        </w:rPr>
        <w:t xml:space="preserve">1. Small enough to reach. Guards against a goal that is really an ambition. "Learn English" is a wish; "say five true sentences about myself" is a goal. The test: could you finish this in the weeks we have? 2. Clear enough to know when it is done. Guards against a goal a learner can never tick. "Get better at reading" has no finish line. "Read the words on the shop signs near my shelter" does. The test: how will you KNOW? 3. It matters to you. Guards against the goal a learner thinks you want to hear. This is the commonest failure in this block and the hardest to spot, because those goals sound excellent. 4. It has a by-when. Guards against the goal that is always about to start. The test: when will you have done it?</w:t>
      </w:r>
    </w:p>
    <w:p>
      <w:pPr>
        <w:pStyle w:val="Heading4"/>
        <w:keepNext/>
        <w:spacing w:after="80" w:before="220"/>
      </w:pPr>
      <w:r>
        <w:rPr>
          <w:b/>
          <w:bCs/>
          <w:color w:val="1F3A5F"/>
          <w:sz w:val="24"/>
          <w:szCs w:val="24"/>
        </w:rPr>
        <w:t xml:space="preserve">The trap: goals set to please you</w:t>
      </w:r>
    </w:p>
    <w:p>
      <w:pPr>
        <w:spacing w:after="140" w:before="0" w:line="300"/>
      </w:pPr>
      <w:r>
        <w:rPr>
          <w:sz w:val="22"/>
          <w:szCs w:val="22"/>
        </w:rPr>
        <w:t xml:space="preserve">Learners who have been in school know what an adult wants to hear. You will get "study hard every day" and "be a good student", said with real sincerity. They are not lying — they are answering the question they think you asked.</w:t>
      </w:r>
    </w:p>
    <w:p>
      <w:pPr>
        <w:spacing w:after="140" w:before="0" w:line="300"/>
      </w:pPr>
      <w:r>
        <w:rPr>
          <w:sz w:val="22"/>
          <w:szCs w:val="22"/>
        </w:rPr>
        <w:t xml:space="preserve">The tell is that the learner cannot say WHY, or says why in the same borrowed words. Ask "what would be different for you if you did that?" and listen for something concrete. If nothing comes, the goal is not theirs yet. Do not accept it because it is well-behaved.</w:t>
      </w:r>
    </w:p>
    <w:p>
      <w:pPr>
        <w:pStyle w:val="Heading4"/>
        <w:keepNext/>
        <w:spacing w:after="80" w:before="220"/>
      </w:pPr>
      <w:r>
        <w:rPr>
          <w:b/>
          <w:bCs/>
          <w:color w:val="1F3A5F"/>
          <w:sz w:val="24"/>
          <w:szCs w:val="24"/>
        </w:rPr>
        <w:t xml:space="preserve">The other trap: goals about things they do not control</w:t>
      </w:r>
    </w:p>
    <w:p>
      <w:pPr>
        <w:spacing w:after="140" w:before="0" w:line="300"/>
      </w:pPr>
      <w:r>
        <w:rPr>
          <w:sz w:val="22"/>
          <w:szCs w:val="22"/>
        </w:rPr>
        <w:t xml:space="preserve">This edition deliberately reframes goal-setting around what is within a learner's control, and this block is where that gets enforced. "Get a place at the secondary school" is not a goal a learner can set — it depends on a decision someone else makes. "Be able to introduce myself in English" is. If a learner reaches for the blocked thing, do not correct them and do not endorse it: ask what the first step towards it would be that is theirs to take, and let the goal be that step.</w:t>
      </w:r>
    </w:p>
    <w:p>
      <w:pPr>
        <w:pStyle w:val="Heading4"/>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Learners cannot yet judge their own — nobody can, at the start. So the sequence is: learn the tests, judge examples that are not theirs, fix a weak one together, and only then turn the tests on their own rough goal. Skipping to their own goal is the commonest way this block fails.</w:t>
      </w:r>
    </w:p>
    <w:p>
      <w:pPr>
        <w:spacing w:after="140" w:before="0" w:line="300"/>
      </w:pPr>
      <w:r>
        <w:rPr>
          <w:sz w:val="22"/>
          <w:szCs w:val="22"/>
        </w:rPr>
        <w:t xml:space="preserve">Use example goals close to your learners' real lives, not textbook ones. Include at least one that fails only ONE test — those are the useful ones, because a goal that fails all four teaches nothing.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the page in front of them.</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out loud, as a group.</w:t>
      </w:r>
    </w:p>
    <w:p>
      <w:pPr>
        <w:pStyle w:val="ListParagraph"/>
        <w:numPr>
          <w:ilvl w:val="0"/>
          <w:numId w:val="1"/>
        </w:numPr>
        <w:spacing w:after="80" w:line="300"/>
      </w:pPr>
      <w:r>
        <w:rPr>
          <w:sz w:val="22"/>
          <w:szCs w:val="22"/>
        </w:rPr>
        <w:t xml:space="preserve">They have run the tests on one rough goal of their own — the goal itself comes next session, so it</w:t>
      </w:r>
    </w:p>
    <w:p>
      <w:pPr>
        <w:spacing w:after="140" w:before="0" w:line="300"/>
      </w:pPr>
      <w:r>
        <w:rPr>
          <w:sz w:val="22"/>
          <w:szCs w:val="22"/>
        </w:rPr>
        <w:t xml:space="preserve">does not have to be finished, only tested.</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4"/>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4"/>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4"/>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4"/>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3"/>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4"/>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4"/>
        <w:keepNext/>
        <w:spacing w:after="80" w:before="220"/>
      </w:pPr>
      <w:r>
        <w:rPr>
          <w:b/>
          <w:bCs/>
          <w:color w:val="1F3A5F"/>
          <w:sz w:val="24"/>
          <w:szCs w:val="24"/>
        </w:rPr>
        <w:t xml:space="preserve">The tell that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4"/>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belongs to the learner beats a better one that belongs to you — the whole component is about who is deciding.</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4"/>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This is not a concession to low literacy; a picture of yourself doing the thing is more motivating than a sentence about it, and it is what they will turn back to when a week goes badly.</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4"/>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4"/>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4"/>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4"/>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3"/>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4"/>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4"/>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not a step, it is a smaller goal.</w:t>
      </w:r>
    </w:p>
    <w:p>
      <w:pPr>
        <w:spacing w:after="140" w:before="0" w:line="300"/>
      </w:pPr>
      <w:r>
        <w:rPr>
          <w:sz w:val="22"/>
          <w:szCs w:val="22"/>
        </w:rPr>
        <w:t xml:space="preserve">Four or five steps is right. Ten means they are planning, not stepping. Two usually means the steps are still goals in disguise.</w:t>
      </w:r>
    </w:p>
    <w:p>
      <w:pPr>
        <w:pStyle w:val="Heading4"/>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point of the first step is not progress. It is that the learner finds out they can move at all.</w:t>
      </w:r>
    </w:p>
    <w:p>
      <w:pPr>
        <w:pStyle w:val="Heading4"/>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4"/>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4"/>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4"/>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4"/>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4"/>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3"/>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4"/>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4"/>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4"/>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4"/>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That is correct. "If there is no light, then I will say my sentences out loud instead of writing them" is worth more than any amount of resolve.</w:t>
      </w:r>
    </w:p>
    <w:p>
      <w:pPr>
        <w:pStyle w:val="Heading4"/>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4"/>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4"/>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4"/>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4"/>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3"/>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4"/>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4"/>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4"/>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is not a consolation prize — it may be the only slot that exists. Teach it as a legitimate first choice, not a fallback.</w:t>
      </w:r>
    </w:p>
    <w:p>
      <w:pPr>
        <w:pStyle w:val="Heading4"/>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4"/>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4"/>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4"/>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4"/>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4"/>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3"/>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4"/>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4"/>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4"/>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4"/>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4"/>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4"/>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4"/>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4"/>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4"/>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3"/>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4"/>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4"/>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4"/>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4"/>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4"/>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4"/>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4"/>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4"/>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4"/>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3"/>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4"/>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4"/>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4"/>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4"/>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4"/>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4"/>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4"/>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4"/>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3"/>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goal work (FSL2)</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3"/>
        <w:keepNext/>
        <w:spacing w:after="100" w:before="280"/>
      </w:pPr>
      <w:r>
        <w:rPr>
          <w:b/>
          <w:bCs/>
          <w:color w:val="7A3B69"/>
          <w:sz w:val="28"/>
          <w:szCs w:val="28"/>
        </w:rPr>
        <w:t xml:space="preserve">Read this before Week 6: most learners will look low, and that is correct</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3"/>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3"/>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3"/>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w:t>
      </w:r>
    </w:p>
    <w:p>
      <w:pPr>
        <w:spacing w:after="140" w:before="0" w:line="300"/>
      </w:pPr>
      <w:r>
        <w:rPr>
          <w:sz w:val="22"/>
          <w:szCs w:val="22"/>
        </w:rPr>
        <w:t xml:space="preserve">check-in beats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r>
        <w:br w:type="page"/>
      </w:r>
    </w:p>
    <w:p>
      <w:pPr>
        <w:spacing w:after="60" w:before="1800" w:line="300"/>
      </w:pPr>
      <w:r>
        <w:rPr>
          <w:b/>
          <w:bCs/>
          <w:color w:val="6E7A2E"/>
          <w:sz w:val="24"/>
          <w:szCs w:val="24"/>
        </w:rPr>
        <w:t xml:space="preserve">PART 5</w:t>
      </w:r>
    </w:p>
    <w:p>
      <w:pPr>
        <w:pStyle w:val="Heading1"/>
        <w:spacing w:after="120"/>
      </w:pPr>
      <w:r>
        <w:rPr>
          <w:b/>
          <w:bCs/>
          <w:color w:val="1F3A5F"/>
          <w:sz w:val="44"/>
          <w:szCs w:val="44"/>
        </w:rPr>
        <w:t xml:space="preserve">Part 5 — English — My Voice</w:t>
      </w:r>
    </w:p>
    <w:p>
      <w:pPr>
        <w:spacing w:after="140" w:before="0" w:line="30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3"/>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2"/>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3"/>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3"/>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3"/>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3"/>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3"/>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3"/>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3"/>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3"/>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3"/>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3"/>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3"/>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3"/>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2"/>
        <w:keepNext/>
        <w:spacing w:after="140" w:before="320"/>
      </w:pPr>
      <w:r>
        <w:rPr>
          <w:b/>
          <w:bCs/>
          <w:color w:val="1F3A5F"/>
          <w:sz w:val="36"/>
          <w:szCs w:val="36"/>
        </w:rPr>
        <w:t xml:space="preserve">Practice everywhere</w:t>
      </w:r>
    </w:p>
    <w:p>
      <w:pPr>
        <w:pStyle w:val="Heading3"/>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3"/>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3"/>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3"/>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3"/>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w:t>
      </w:r>
    </w:p>
    <w:p>
      <w:pPr>
        <w:spacing w:after="140" w:before="0" w:line="300"/>
      </w:pPr>
      <w:r>
        <w:rPr>
          <w:sz w:val="22"/>
          <w:szCs w:val="22"/>
        </w:rPr>
        <w:t xml:space="preserve">start; it is the one material you cannot improvise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that is not a courtesy, it is the first lesson's content.</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3"/>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3"/>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3"/>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beats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3"/>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3"/>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3"/>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3"/>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3"/>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2"/>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3"/>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4"/>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4"/>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4"/>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4"/>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3"/>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4"/>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4"/>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 that is exactly right.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4"/>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3"/>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4"/>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4"/>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4"/>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3"/>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4"/>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4"/>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4"/>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3"/>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4"/>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4"/>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4"/>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3"/>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4"/>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4"/>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4"/>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3"/>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4"/>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4"/>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4"/>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4"/>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3"/>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4"/>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4"/>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4"/>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3"/>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4"/>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4"/>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4"/>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3"/>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4"/>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4"/>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4"/>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4"/>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3"/>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4"/>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4"/>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4"/>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4"/>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3"/>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4"/>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4"/>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4"/>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3"/>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3"/>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4"/>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4"/>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4"/>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3"/>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4"/>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4"/>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4"/>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4"/>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3"/>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3"/>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3"/>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4"/>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4"/>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4"/>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4"/>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4"/>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4"/>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3"/>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3"/>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3"/>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3"/>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1800" w:line="300"/>
      </w:pPr>
      <w:r>
        <w:rPr>
          <w:b/>
          <w:bCs/>
          <w:color w:val="6E7A2E"/>
          <w:sz w:val="24"/>
          <w:szCs w:val="24"/>
        </w:rPr>
        <w:t xml:space="preserve">PART 6</w:t>
      </w:r>
    </w:p>
    <w:p>
      <w:pPr>
        <w:pStyle w:val="Heading1"/>
        <w:spacing w:after="120"/>
      </w:pPr>
      <w:r>
        <w:rPr>
          <w:b/>
          <w:bCs/>
          <w:color w:val="1F3A5F"/>
          <w:sz w:val="44"/>
          <w:szCs w:val="44"/>
        </w:rPr>
        <w:t xml:space="preserve">Part 6 — Research Project</w:t>
      </w:r>
    </w:p>
    <w:p>
      <w:pPr>
        <w:spacing w:after="140" w:before="0" w:line="30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3"/>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3"/>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3"/>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3"/>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3"/>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3"/>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2"/>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3"/>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4"/>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4"/>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4"/>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4"/>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3"/>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4"/>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4"/>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4"/>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3"/>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pStyle w:val="Heading4"/>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4"/>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3"/>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pStyle w:val="Heading4"/>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4"/>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4"/>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3"/>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pStyle w:val="Heading4"/>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4"/>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4"/>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4"/>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3"/>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pStyle w:val="Heading4"/>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4"/>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4"/>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3"/>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4"/>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4"/>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4"/>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4"/>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4"/>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4"/>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4"/>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3"/>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4"/>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4"/>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4"/>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4"/>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4"/>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4"/>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3"/>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3"/>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3"/>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4"/>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4"/>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4"/>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4"/>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3"/>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4"/>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4"/>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4"/>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4"/>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4"/>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4"/>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4"/>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4"/>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3"/>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pStyle w:val="Heading4"/>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4"/>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4"/>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3"/>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pStyle w:val="Heading4"/>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4"/>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3"/>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4"/>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not a worthless source, it is one you check against another.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4"/>
        <w:keepNext/>
        <w:spacing w:after="80" w:before="220"/>
      </w:pPr>
      <w:r>
        <w:rPr>
          <w:b/>
          <w:bCs/>
          <w:color w:val="1F3A5F"/>
          <w:sz w:val="24"/>
          <w:szCs w:val="24"/>
        </w:rPr>
        <w:t xml:space="preserve">The trap: "official" is not the same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4"/>
        <w:keepNext/>
        <w:spacing w:after="80" w:before="220"/>
      </w:pPr>
      <w:r>
        <w:rPr>
          <w:b/>
          <w:bCs/>
          <w:color w:val="1F3A5F"/>
          <w:sz w:val="24"/>
          <w:szCs w:val="24"/>
        </w:rPr>
        <w:t xml:space="preserve">The trap in the other direction</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4"/>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4"/>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4"/>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4"/>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4"/>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3"/>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4"/>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4"/>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not a compromise for a cohort that cannot write essays — it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4"/>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4"/>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4"/>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4"/>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4"/>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4"/>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4"/>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3"/>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4"/>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4"/>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beats five with a made-up one.</w:t>
      </w:r>
    </w:p>
    <w:p>
      <w:pPr>
        <w:pStyle w:val="Heading4"/>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not a root cause, it is a midpoint.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4"/>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4"/>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4"/>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4"/>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3"/>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4"/>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4"/>
        <w:keepNext/>
        <w:spacing w:after="80" w:before="220"/>
      </w:pPr>
      <w:r>
        <w:rPr>
          <w:b/>
          <w:bCs/>
          <w:color w:val="1F3A5F"/>
          <w:sz w:val="24"/>
          <w:szCs w:val="24"/>
        </w:rPr>
        <w:t xml:space="preserve">The trap: this can become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 learner has power here too — that is the point of asking.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4"/>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4"/>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4"/>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4"/>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4"/>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3"/>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4"/>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That is the whole test, and it is the one to give learners.</w:t>
      </w:r>
    </w:p>
    <w:p>
      <w:pPr>
        <w:pStyle w:val="Heading4"/>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4"/>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4"/>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4"/>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4"/>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4"/>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4"/>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3"/>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pStyle w:val="Heading4"/>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4"/>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4"/>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3"/>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pStyle w:val="Heading4"/>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4"/>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4"/>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3"/>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pStyle w:val="Heading4"/>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4"/>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4"/>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4"/>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investigation (FSI1)</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3"/>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2"/>
        <w:keepNext/>
        <w:spacing w:after="140" w:before="320"/>
      </w:pPr>
      <w:r>
        <w:rPr>
          <w:b/>
          <w:bCs/>
          <w:color w:val="1F3A5F"/>
          <w:sz w:val="36"/>
          <w:szCs w:val="36"/>
        </w:rPr>
        <w:t xml:space="preserve">Appendix A - Secondary source pack (facilitator copy)</w:t>
      </w:r>
    </w:p>
    <w:p>
      <w:pPr>
        <w:pStyle w:val="Heading3"/>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3"/>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3"/>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3"/>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3"/>
        <w:keepNext/>
        <w:spacing w:after="100" w:before="280"/>
      </w:pPr>
      <w:r>
        <w:rPr>
          <w:b/>
          <w:bCs/>
          <w:color w:val="7A3B69"/>
          <w:sz w:val="28"/>
          <w:szCs w:val="28"/>
        </w:rPr>
        <w:t xml:space="preserve">The source cards, as learners read them</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3"/>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3"/>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3"/>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3"/>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3"/>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3"/>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3"/>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3"/>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3"/>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1800" w:line="300"/>
      </w:pPr>
      <w:r>
        <w:rPr>
          <w:b/>
          <w:bCs/>
          <w:color w:val="6E7A2E"/>
          <w:sz w:val="24"/>
          <w:szCs w:val="24"/>
        </w:rPr>
        <w:t xml:space="preserve">PART 7</w:t>
      </w:r>
    </w:p>
    <w:p>
      <w:pPr>
        <w:pStyle w:val="Heading1"/>
        <w:spacing w:after="120"/>
      </w:pPr>
      <w:r>
        <w:rPr>
          <w:b/>
          <w:bCs/>
          <w:color w:val="1F3A5F"/>
          <w:sz w:val="44"/>
          <w:szCs w:val="44"/>
        </w:rPr>
        <w:t xml:space="preserve">Part 7 — The learner books — print one per learner</w:t>
      </w:r>
    </w:p>
    <w:p>
      <w:pPr>
        <w:spacing w:after="140" w:before="0" w:line="300"/>
      </w:pPr>
      <w:r>
        <w:rPr>
          <w:color w:val="5A6473"/>
          <w:sz w:val="23"/>
          <w:szCs w:val="23"/>
        </w:rPr>
        <w:t xml:space="preserve">Three books, one per component. Print each learner a copy before Week 1, or work from one held-up copy and learners’ own notebooks.</w:t>
      </w:r>
    </w:p>
    <w:p>
      <w:r>
        <w:br w:type="page"/>
      </w:r>
    </w:p>
    <w:p>
      <w:pPr>
        <w:pStyle w:val="Heading2"/>
        <w:keepNext/>
        <w:spacing w:after="100" w:before="280"/>
      </w:pPr>
      <w:r>
        <w:rPr>
          <w:b/>
          <w:bCs/>
          <w:color w:val="7A3B69"/>
          <w:sz w:val="28"/>
          <w:szCs w:val="28"/>
        </w:rPr>
        <w:t xml:space="preserve">7A  Agency in Learning — “My Learning Book”</w:t>
      </w:r>
    </w:p>
    <w:p>
      <w:pPr>
        <w:spacing w:after="140" w:before="0" w:line="300"/>
      </w:pPr>
      <w:r>
        <w:rPr>
          <w:color w:val="5A6473"/>
          <w:sz w:val="22"/>
          <w:szCs w:val="22"/>
        </w:rPr>
        <w:t xml:space="preserve">One visual-first page per activity: the Learner Profile pages, the goal, the plan, and the growth pages. It is the learner’s record of the whole component, and it is where most of your Set and Pursue Goals evidence comes from.</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4"/>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4"/>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4"/>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5"/>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5"/>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5"/>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4"/>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4"/>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5"/>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5"/>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5"/>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5"/>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5"/>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4"/>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4"/>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5"/>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5"/>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5"/>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5"/>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5"/>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4"/>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4"/>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4"/>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5"/>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5"/>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5"/>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5"/>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4"/>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4"/>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5"/>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5"/>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5"/>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5"/>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5"/>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4"/>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4"/>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5"/>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5"/>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5"/>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5"/>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5"/>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4"/>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4"/>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5"/>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5"/>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5"/>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5"/>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5"/>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5"/>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MY STEPS</w:t>
      </w:r>
    </w:p>
    <w:p>
      <w:pPr>
        <w:pStyle w:val="Heading4"/>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4"/>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5"/>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5"/>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5"/>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5"/>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5"/>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5"/>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correct. It is supposed to. A tiny thing that actually happens beats a big thing that does not.</w:t>
      </w:r>
    </w:p>
    <w:p>
      <w:pPr>
        <w:pStyle w:val="Heading5"/>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4"/>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4"/>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5"/>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5"/>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5"/>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5"/>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5"/>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5"/>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TIME</w:t>
      </w:r>
    </w:p>
    <w:p>
      <w:pPr>
        <w:pStyle w:val="Heading4"/>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4"/>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5"/>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5"/>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5"/>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5"/>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5"/>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4"/>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4"/>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4"/>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5"/>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5"/>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5"/>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5"/>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5"/>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4"/>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4"/>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5"/>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5"/>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5"/>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5"/>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5"/>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4"/>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4"/>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4"/>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7B  English — the “My Voice book”</w:t>
      </w:r>
    </w:p>
    <w:p>
      <w:pPr>
        <w:spacing w:after="140" w:before="0" w:line="300"/>
      </w:pPr>
      <w:r>
        <w:rPr>
          <w:color w:val="5A6473"/>
          <w:sz w:val="22"/>
          <w:szCs w:val="22"/>
        </w:rPr>
        <w:t xml:space="preserve">One sheet per activity, in unit order: the name pages, the sound and word pages, the sentence frames, the My Name My Voice card, and the "I can…" sheet you mark at the start and again at the end.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4"/>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4"/>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4"/>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5"/>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4"/>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4"/>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4"/>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4"/>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4"/>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4"/>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4"/>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4"/>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4"/>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4"/>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4"/>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4"/>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2"/>
        <w:keepNext/>
        <w:spacing w:after="100" w:before="280"/>
      </w:pPr>
      <w:r>
        <w:rPr>
          <w:b/>
          <w:bCs/>
          <w:color w:val="7A3B69"/>
          <w:sz w:val="28"/>
          <w:szCs w:val="28"/>
        </w:rPr>
        <w:t xml:space="preserve">7C  Research Project — “Our Research Book”</w:t>
      </w:r>
    </w:p>
    <w:p>
      <w:pPr>
        <w:spacing w:after="140" w:before="0" w:line="300"/>
      </w:pPr>
      <w:r>
        <w:rPr>
          <w:color w:val="5A6473"/>
          <w:sz w:val="22"/>
          <w:szCs w:val="22"/>
        </w:rPr>
        <w:t xml:space="preserve">The source cards learners read (graded B1 and A1/A2 versions), the research word bank, and a page for each step of the investigation.</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3"/>
        <w:keepNext/>
        <w:spacing w:after="140" w:before="320"/>
      </w:pPr>
      <w:r>
        <w:rPr>
          <w:b/>
          <w:bCs/>
          <w:color w:val="1F3A5F"/>
          <w:sz w:val="36"/>
          <w:szCs w:val="36"/>
        </w:rPr>
        <w:t xml:space="preserve">Our sources</w:t>
      </w:r>
    </w:p>
    <w:p>
      <w:pPr>
        <w:pStyle w:val="Heading4"/>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4"/>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4"/>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4"/>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4"/>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4"/>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4"/>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4"/>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4"/>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4"/>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4"/>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4"/>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4"/>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4"/>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3"/>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3"/>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4"/>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4"/>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4"/>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7A3B69"/>
          <w:spacing w:val="30"/>
          <w:sz w:val="16"/>
          <w:szCs w:val="16"/>
        </w:rPr>
        <w:t xml:space="preserve">WHAT WE ALREADY KNOW</w:t>
      </w:r>
    </w:p>
    <w:p>
      <w:pPr>
        <w:pStyle w:val="Heading4"/>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4"/>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MAKE OUR RESEARCH QUESTION OUR OWN</w:t>
      </w:r>
    </w:p>
    <w:p>
      <w:pPr>
        <w:pStyle w:val="Heading4"/>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4"/>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5"/>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5"/>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5"/>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5"/>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4"/>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4"/>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5"/>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5"/>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5"/>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5"/>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5"/>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5"/>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5"/>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5"/>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4"/>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5"/>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5"/>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5"/>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5"/>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5"/>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4"/>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4"/>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4"/>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5"/>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5"/>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5"/>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5"/>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5"/>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4"/>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4"/>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5"/>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5"/>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5"/>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5"/>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5"/>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5"/>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SORT AND THEME WHAT WE FOUND</w:t>
      </w:r>
    </w:p>
    <w:p>
      <w:pPr>
        <w:pStyle w:val="Heading4"/>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4"/>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5"/>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5"/>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5"/>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5"/>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5"/>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DIG FOR THE ROOT CAUSE</w:t>
      </w:r>
    </w:p>
    <w:p>
      <w:pPr>
        <w:pStyle w:val="Heading4"/>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4"/>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5"/>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5"/>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5"/>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5"/>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5"/>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WHO, WHAT, AND WHY — LOOKING DEEPER</w:t>
      </w:r>
    </w:p>
    <w:p>
      <w:pPr>
        <w:pStyle w:val="Heading4"/>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4"/>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5"/>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5"/>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5"/>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5"/>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5"/>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FROM FINDINGS TO INSIGHTS</w:t>
      </w:r>
    </w:p>
    <w:p>
      <w:pPr>
        <w:pStyle w:val="Heading4"/>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7A3B69"/>
          <w:spacing w:val="30"/>
          <w:sz w:val="16"/>
          <w:szCs w:val="16"/>
        </w:rPr>
        <w:t xml:space="preserve">CHOOSE OUR FORMAT AND OUR AUDIENCE</w:t>
      </w:r>
    </w:p>
    <w:p>
      <w:pPr>
        <w:pStyle w:val="Heading4"/>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BUILD OUR RESEARCH OUTPUT</w:t>
      </w:r>
    </w:p>
    <w:p>
      <w:pPr>
        <w:pStyle w:val="Heading4"/>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7A3B69"/>
          <w:spacing w:val="30"/>
          <w:sz w:val="16"/>
          <w:szCs w:val="16"/>
        </w:rPr>
        <w:t xml:space="preserve">SHARE OUR FINDINGS, AND LOOK BACK</w:t>
      </w:r>
    </w:p>
    <w:p>
      <w:pPr>
        <w:pStyle w:val="Heading4"/>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3"/>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4"/>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4"/>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4"/>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4"/>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4"/>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4"/>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4"/>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r>
        <w:br w:type="page"/>
      </w:r>
    </w:p>
    <w:p>
      <w:pPr>
        <w:spacing w:after="60" w:before="1800" w:line="300"/>
      </w:pPr>
      <w:r>
        <w:rPr>
          <w:b/>
          <w:bCs/>
          <w:color w:val="6E7A2E"/>
          <w:sz w:val="24"/>
          <w:szCs w:val="24"/>
        </w:rPr>
        <w:t xml:space="preserve">PART 8</w:t>
      </w:r>
    </w:p>
    <w:p>
      <w:pPr>
        <w:pStyle w:val="Heading1"/>
        <w:spacing w:after="120"/>
      </w:pPr>
      <w:r>
        <w:rPr>
          <w:b/>
          <w:bCs/>
          <w:color w:val="1F3A5F"/>
          <w:sz w:val="44"/>
          <w:szCs w:val="44"/>
        </w:rPr>
        <w:t xml:space="preserve">Part 8 — Cards to print and cut out</w:t>
      </w:r>
    </w:p>
    <w:p>
      <w:pPr>
        <w:spacing w:after="140" w:before="0" w:line="300"/>
      </w:pPr>
      <w:r>
        <w:rPr>
          <w:color w:val="5A6473"/>
          <w:sz w:val="23"/>
          <w:szCs w:val="23"/>
        </w:rPr>
        <w:t xml:space="preserve">One set per group. Print on the heaviest paper you have, cut along the lines, and keep each set together.</w:t>
      </w:r>
    </w:p>
    <w:p>
      <w:r>
        <w:br w:type="page"/>
      </w:r>
    </w:p>
    <w:p>
      <w:pPr>
        <w:pStyle w:val="Heading2"/>
        <w:keepNext/>
        <w:spacing w:after="100" w:before="280"/>
      </w:pPr>
      <w:r>
        <w:rPr>
          <w:b/>
          <w:bCs/>
          <w:color w:val="7A3B69"/>
          <w:sz w:val="28"/>
          <w:szCs w:val="28"/>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line="300"/>
      </w:pPr>
      <w:r>
        <w:rPr>
          <w:color w:val="5A6473"/>
          <w:sz w:val="20"/>
          <w:szCs w:val="20"/>
        </w:rPr>
        <w:t xml:space="preserve">Print and cut along the lines. Editable — change or add cards for your group.</w:t>
      </w:r>
    </w:p>
    <w:p>
      <w:pPr>
        <w:pStyle w:val="Heading3"/>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1F3A5F"/>
                <w:sz w:val="56"/>
                <w:szCs w:val="56"/>
              </w:rPr>
              <w:t xml:space="preserve">A a</w:t>
            </w:r>
          </w:p>
        </w:tc>
        <w:tc>
          <w:tcPr>
            <w:tcW w:type="dxa" w:w="2700"/>
            <w:vAlign w:val="center"/>
          </w:tcPr>
          <w:p>
            <w:pPr>
              <w:jc w:val="center"/>
            </w:pPr>
            <w:r>
              <w:rPr>
                <w:b/>
                <w:bCs/>
                <w:color w:val="1F3A5F"/>
                <w:sz w:val="56"/>
                <w:szCs w:val="56"/>
              </w:rPr>
              <w:t xml:space="preserve">B b</w:t>
            </w:r>
          </w:p>
        </w:tc>
        <w:tc>
          <w:tcPr>
            <w:tcW w:type="dxa" w:w="2700"/>
            <w:vAlign w:val="center"/>
          </w:tcPr>
          <w:p>
            <w:pPr>
              <w:jc w:val="center"/>
            </w:pPr>
            <w:r>
              <w:rPr>
                <w:b/>
                <w:bCs/>
                <w:color w:val="1F3A5F"/>
                <w:sz w:val="56"/>
                <w:szCs w:val="56"/>
              </w:rPr>
              <w:t xml:space="preserve">C c</w:t>
            </w:r>
          </w:p>
        </w:tc>
        <w:tc>
          <w:tcPr>
            <w:tcW w:type="dxa" w:w="2700"/>
            <w:vAlign w:val="center"/>
          </w:tcPr>
          <w:p>
            <w:pPr>
              <w:jc w:val="center"/>
            </w:pPr>
            <w:r>
              <w:rPr>
                <w:b/>
                <w:bCs/>
                <w:color w:val="1F3A5F"/>
                <w:sz w:val="56"/>
                <w:szCs w:val="56"/>
              </w:rPr>
              <w:t xml:space="preserve">D d</w:t>
            </w:r>
          </w:p>
        </w:tc>
      </w:tr>
      <w:tr>
        <w:trPr>
          <w:trHeight w:val="1500" w:hRule="atLeast"/>
        </w:trPr>
        <w:tc>
          <w:tcPr>
            <w:tcW w:type="dxa" w:w="2700"/>
            <w:vAlign w:val="center"/>
          </w:tcPr>
          <w:p>
            <w:pPr>
              <w:jc w:val="center"/>
            </w:pPr>
            <w:r>
              <w:rPr>
                <w:b/>
                <w:bCs/>
                <w:color w:val="1F3A5F"/>
                <w:sz w:val="56"/>
                <w:szCs w:val="56"/>
              </w:rPr>
              <w:t xml:space="preserve">E e</w:t>
            </w:r>
          </w:p>
        </w:tc>
        <w:tc>
          <w:tcPr>
            <w:tcW w:type="dxa" w:w="2700"/>
            <w:vAlign w:val="center"/>
          </w:tcPr>
          <w:p>
            <w:pPr>
              <w:jc w:val="center"/>
            </w:pPr>
            <w:r>
              <w:rPr>
                <w:b/>
                <w:bCs/>
                <w:color w:val="1F3A5F"/>
                <w:sz w:val="56"/>
                <w:szCs w:val="56"/>
              </w:rPr>
              <w:t xml:space="preserve">F f</w:t>
            </w:r>
          </w:p>
        </w:tc>
        <w:tc>
          <w:tcPr>
            <w:tcW w:type="dxa" w:w="2700"/>
            <w:vAlign w:val="center"/>
          </w:tcPr>
          <w:p>
            <w:pPr>
              <w:jc w:val="center"/>
            </w:pPr>
            <w:r>
              <w:rPr>
                <w:b/>
                <w:bCs/>
                <w:color w:val="1F3A5F"/>
                <w:sz w:val="56"/>
                <w:szCs w:val="56"/>
              </w:rPr>
              <w:t xml:space="preserve">G g</w:t>
            </w:r>
          </w:p>
        </w:tc>
        <w:tc>
          <w:tcPr>
            <w:tcW w:type="dxa" w:w="2700"/>
            <w:vAlign w:val="center"/>
          </w:tcPr>
          <w:p>
            <w:pPr>
              <w:jc w:val="center"/>
            </w:pPr>
            <w:r>
              <w:rPr>
                <w:b/>
                <w:bCs/>
                <w:color w:val="1F3A5F"/>
                <w:sz w:val="56"/>
                <w:szCs w:val="56"/>
              </w:rPr>
              <w:t xml:space="preserve">H h</w:t>
            </w:r>
          </w:p>
        </w:tc>
      </w:tr>
      <w:tr>
        <w:trPr>
          <w:trHeight w:val="1500" w:hRule="atLeast"/>
        </w:trPr>
        <w:tc>
          <w:tcPr>
            <w:tcW w:type="dxa" w:w="2700"/>
            <w:vAlign w:val="center"/>
          </w:tcPr>
          <w:p>
            <w:pPr>
              <w:jc w:val="center"/>
            </w:pPr>
            <w:r>
              <w:rPr>
                <w:b/>
                <w:bCs/>
                <w:color w:val="1F3A5F"/>
                <w:sz w:val="56"/>
                <w:szCs w:val="56"/>
              </w:rPr>
              <w:t xml:space="preserve">I i</w:t>
            </w:r>
          </w:p>
        </w:tc>
        <w:tc>
          <w:tcPr>
            <w:tcW w:type="dxa" w:w="2700"/>
            <w:vAlign w:val="center"/>
          </w:tcPr>
          <w:p>
            <w:pPr>
              <w:jc w:val="center"/>
            </w:pPr>
            <w:r>
              <w:rPr>
                <w:b/>
                <w:bCs/>
                <w:color w:val="1F3A5F"/>
                <w:sz w:val="56"/>
                <w:szCs w:val="56"/>
              </w:rPr>
              <w:t xml:space="preserve">J j</w:t>
            </w:r>
          </w:p>
        </w:tc>
        <w:tc>
          <w:tcPr>
            <w:tcW w:type="dxa" w:w="2700"/>
            <w:vAlign w:val="center"/>
          </w:tcPr>
          <w:p>
            <w:pPr>
              <w:jc w:val="center"/>
            </w:pPr>
            <w:r>
              <w:rPr>
                <w:b/>
                <w:bCs/>
                <w:color w:val="1F3A5F"/>
                <w:sz w:val="56"/>
                <w:szCs w:val="56"/>
              </w:rPr>
              <w:t xml:space="preserve">K k</w:t>
            </w:r>
          </w:p>
        </w:tc>
        <w:tc>
          <w:tcPr>
            <w:tcW w:type="dxa" w:w="2700"/>
            <w:vAlign w:val="center"/>
          </w:tcPr>
          <w:p>
            <w:pPr>
              <w:jc w:val="center"/>
            </w:pPr>
            <w:r>
              <w:rPr>
                <w:b/>
                <w:bCs/>
                <w:color w:val="1F3A5F"/>
                <w:sz w:val="56"/>
                <w:szCs w:val="56"/>
              </w:rPr>
              <w:t xml:space="preserve">L l</w:t>
            </w:r>
          </w:p>
        </w:tc>
      </w:tr>
      <w:tr>
        <w:trPr>
          <w:trHeight w:val="1500" w:hRule="atLeast"/>
        </w:trPr>
        <w:tc>
          <w:tcPr>
            <w:tcW w:type="dxa" w:w="2700"/>
            <w:vAlign w:val="center"/>
          </w:tcPr>
          <w:p>
            <w:pPr>
              <w:jc w:val="center"/>
            </w:pPr>
            <w:r>
              <w:rPr>
                <w:b/>
                <w:bCs/>
                <w:color w:val="1F3A5F"/>
                <w:sz w:val="56"/>
                <w:szCs w:val="56"/>
              </w:rPr>
              <w:t xml:space="preserve">M m</w:t>
            </w:r>
          </w:p>
        </w:tc>
        <w:tc>
          <w:tcPr>
            <w:tcW w:type="dxa" w:w="2700"/>
            <w:vAlign w:val="center"/>
          </w:tcPr>
          <w:p>
            <w:pPr>
              <w:jc w:val="center"/>
            </w:pPr>
            <w:r>
              <w:rPr>
                <w:b/>
                <w:bCs/>
                <w:color w:val="1F3A5F"/>
                <w:sz w:val="56"/>
                <w:szCs w:val="56"/>
              </w:rPr>
              <w:t xml:space="preserve">N n</w:t>
            </w:r>
          </w:p>
        </w:tc>
        <w:tc>
          <w:tcPr>
            <w:tcW w:type="dxa" w:w="2700"/>
            <w:vAlign w:val="center"/>
          </w:tcPr>
          <w:p>
            <w:pPr>
              <w:jc w:val="center"/>
            </w:pPr>
            <w:r>
              <w:rPr>
                <w:b/>
                <w:bCs/>
                <w:color w:val="1F3A5F"/>
                <w:sz w:val="56"/>
                <w:szCs w:val="56"/>
              </w:rPr>
              <w:t xml:space="preserve">O o</w:t>
            </w:r>
          </w:p>
        </w:tc>
        <w:tc>
          <w:tcPr>
            <w:tcW w:type="dxa" w:w="2700"/>
            <w:vAlign w:val="center"/>
          </w:tcPr>
          <w:p>
            <w:pPr>
              <w:jc w:val="center"/>
            </w:pPr>
            <w:r>
              <w:rPr>
                <w:b/>
                <w:bCs/>
                <w:color w:val="1F3A5F"/>
                <w:sz w:val="56"/>
                <w:szCs w:val="56"/>
              </w:rPr>
              <w:t xml:space="preserve">P p</w:t>
            </w:r>
          </w:p>
        </w:tc>
      </w:tr>
      <w:tr>
        <w:trPr>
          <w:trHeight w:val="1500" w:hRule="atLeast"/>
        </w:trPr>
        <w:tc>
          <w:tcPr>
            <w:tcW w:type="dxa" w:w="2700"/>
            <w:vAlign w:val="center"/>
          </w:tcPr>
          <w:p>
            <w:pPr>
              <w:jc w:val="center"/>
            </w:pPr>
            <w:r>
              <w:rPr>
                <w:b/>
                <w:bCs/>
                <w:color w:val="1F3A5F"/>
                <w:sz w:val="56"/>
                <w:szCs w:val="56"/>
              </w:rPr>
              <w:t xml:space="preserve">Q q</w:t>
            </w:r>
          </w:p>
        </w:tc>
        <w:tc>
          <w:tcPr>
            <w:tcW w:type="dxa" w:w="2700"/>
            <w:vAlign w:val="center"/>
          </w:tcPr>
          <w:p>
            <w:pPr>
              <w:jc w:val="center"/>
            </w:pPr>
            <w:r>
              <w:rPr>
                <w:b/>
                <w:bCs/>
                <w:color w:val="1F3A5F"/>
                <w:sz w:val="56"/>
                <w:szCs w:val="56"/>
              </w:rPr>
              <w:t xml:space="preserve">R r</w:t>
            </w:r>
          </w:p>
        </w:tc>
        <w:tc>
          <w:tcPr>
            <w:tcW w:type="dxa" w:w="2700"/>
            <w:vAlign w:val="center"/>
          </w:tcPr>
          <w:p>
            <w:pPr>
              <w:jc w:val="center"/>
            </w:pPr>
            <w:r>
              <w:rPr>
                <w:b/>
                <w:bCs/>
                <w:color w:val="1F3A5F"/>
                <w:sz w:val="56"/>
                <w:szCs w:val="56"/>
              </w:rPr>
              <w:t xml:space="preserve">S s</w:t>
            </w:r>
          </w:p>
        </w:tc>
        <w:tc>
          <w:tcPr>
            <w:tcW w:type="dxa" w:w="2700"/>
            <w:vAlign w:val="center"/>
          </w:tcPr>
          <w:p>
            <w:pPr>
              <w:jc w:val="center"/>
            </w:pPr>
            <w:r>
              <w:rPr>
                <w:b/>
                <w:bCs/>
                <w:color w:val="1F3A5F"/>
                <w:sz w:val="56"/>
                <w:szCs w:val="56"/>
              </w:rPr>
              <w:t xml:space="preserve">T t</w:t>
            </w:r>
          </w:p>
        </w:tc>
      </w:tr>
      <w:tr>
        <w:trPr>
          <w:trHeight w:val="1500" w:hRule="atLeast"/>
        </w:trPr>
        <w:tc>
          <w:tcPr>
            <w:tcW w:type="dxa" w:w="2700"/>
            <w:vAlign w:val="center"/>
          </w:tcPr>
          <w:p>
            <w:pPr>
              <w:jc w:val="center"/>
            </w:pPr>
            <w:r>
              <w:rPr>
                <w:b/>
                <w:bCs/>
                <w:color w:val="1F3A5F"/>
                <w:sz w:val="56"/>
                <w:szCs w:val="56"/>
              </w:rPr>
              <w:t xml:space="preserve">U u</w:t>
            </w:r>
          </w:p>
        </w:tc>
        <w:tc>
          <w:tcPr>
            <w:tcW w:type="dxa" w:w="2700"/>
            <w:vAlign w:val="center"/>
          </w:tcPr>
          <w:p>
            <w:pPr>
              <w:jc w:val="center"/>
            </w:pPr>
            <w:r>
              <w:rPr>
                <w:b/>
                <w:bCs/>
                <w:color w:val="1F3A5F"/>
                <w:sz w:val="56"/>
                <w:szCs w:val="56"/>
              </w:rPr>
              <w:t xml:space="preserve">V v</w:t>
            </w:r>
          </w:p>
        </w:tc>
        <w:tc>
          <w:tcPr>
            <w:tcW w:type="dxa" w:w="2700"/>
            <w:vAlign w:val="center"/>
          </w:tcPr>
          <w:p>
            <w:pPr>
              <w:jc w:val="center"/>
            </w:pPr>
            <w:r>
              <w:rPr>
                <w:b/>
                <w:bCs/>
                <w:color w:val="1F3A5F"/>
                <w:sz w:val="56"/>
                <w:szCs w:val="56"/>
              </w:rPr>
              <w:t xml:space="preserve">W w</w:t>
            </w:r>
          </w:p>
        </w:tc>
        <w:tc>
          <w:tcPr>
            <w:tcW w:type="dxa" w:w="2700"/>
            <w:vAlign w:val="center"/>
          </w:tcPr>
          <w:p>
            <w:pPr>
              <w:jc w:val="center"/>
            </w:pPr>
            <w:r>
              <w:rPr>
                <w:b/>
                <w:bCs/>
                <w:color w:val="1F3A5F"/>
                <w:sz w:val="56"/>
                <w:szCs w:val="56"/>
              </w:rPr>
              <w:t xml:space="preserve">X x</w:t>
            </w:r>
          </w:p>
        </w:tc>
      </w:tr>
      <w:tr>
        <w:trPr>
          <w:trHeight w:val="1500" w:hRule="atLeast"/>
        </w:trPr>
        <w:tc>
          <w:tcPr>
            <w:tcW w:type="dxa" w:w="2700"/>
            <w:vAlign w:val="center"/>
          </w:tcPr>
          <w:p>
            <w:pPr>
              <w:jc w:val="center"/>
            </w:pPr>
            <w:r>
              <w:rPr>
                <w:b/>
                <w:bCs/>
                <w:color w:val="1F3A5F"/>
                <w:sz w:val="56"/>
                <w:szCs w:val="56"/>
              </w:rPr>
              <w:t xml:space="preserve">Y y</w:t>
            </w:r>
          </w:p>
        </w:tc>
        <w:tc>
          <w:tcPr>
            <w:tcW w:type="dxa" w:w="2700"/>
            <w:vAlign w:val="center"/>
          </w:tcPr>
          <w:p>
            <w:pPr>
              <w:jc w:val="center"/>
            </w:pPr>
            <w:r>
              <w:rPr>
                <w:b/>
                <w:bCs/>
                <w:color w:val="1F3A5F"/>
                <w:sz w:val="56"/>
                <w:szCs w:val="56"/>
              </w:rPr>
              <w:t xml:space="preserve">Z z</w:t>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7A3B69"/>
                <w:sz w:val="60"/>
                <w:szCs w:val="60"/>
              </w:rPr>
              <w:t xml:space="preserve">a</w:t>
            </w:r>
          </w:p>
        </w:tc>
        <w:tc>
          <w:tcPr>
            <w:tcW w:type="dxa" w:w="2700"/>
            <w:vAlign w:val="center"/>
          </w:tcPr>
          <w:p>
            <w:pPr>
              <w:jc w:val="center"/>
            </w:pPr>
            <w:r>
              <w:rPr>
                <w:b/>
                <w:bCs/>
                <w:color w:val="7A3B69"/>
                <w:sz w:val="60"/>
                <w:szCs w:val="60"/>
              </w:rPr>
              <w:t xml:space="preserve">o</w:t>
            </w:r>
          </w:p>
        </w:tc>
        <w:tc>
          <w:tcPr>
            <w:tcW w:type="dxa" w:w="2700"/>
            <w:vAlign w:val="center"/>
          </w:tcPr>
          <w:p>
            <w:pPr>
              <w:jc w:val="center"/>
            </w:pPr>
            <w:r>
              <w:rPr>
                <w:b/>
                <w:bCs/>
                <w:color w:val="7A3B69"/>
                <w:sz w:val="60"/>
                <w:szCs w:val="60"/>
              </w:rPr>
              <w:t xml:space="preserve">u</w:t>
            </w:r>
          </w:p>
        </w:tc>
        <w:tc>
          <w:tcPr>
            <w:tcW w:type="dxa" w:w="2700"/>
            <w:vAlign w:val="center"/>
          </w:tcPr>
          <w:p>
            <w:pPr>
              <w:jc w:val="center"/>
            </w:pPr>
            <w:r>
              <w:rPr>
                <w:b/>
                <w:bCs/>
                <w:color w:val="7A3B69"/>
                <w:sz w:val="60"/>
                <w:szCs w:val="60"/>
              </w:rPr>
              <w:t xml:space="preserve">s</w:t>
            </w:r>
          </w:p>
        </w:tc>
      </w:tr>
      <w:tr>
        <w:trPr>
          <w:trHeight w:val="1500" w:hRule="atLeast"/>
        </w:trPr>
        <w:tc>
          <w:tcPr>
            <w:tcW w:type="dxa" w:w="2700"/>
            <w:vAlign w:val="center"/>
          </w:tcPr>
          <w:p>
            <w:pPr>
              <w:jc w:val="center"/>
            </w:pPr>
            <w:r>
              <w:rPr>
                <w:b/>
                <w:bCs/>
                <w:color w:val="7A3B69"/>
                <w:sz w:val="60"/>
                <w:szCs w:val="60"/>
              </w:rPr>
              <w:t xml:space="preserve">t</w:t>
            </w:r>
          </w:p>
        </w:tc>
        <w:tc>
          <w:tcPr>
            <w:tcW w:type="dxa" w:w="2700"/>
            <w:vAlign w:val="center"/>
          </w:tcPr>
          <w:p>
            <w:pPr>
              <w:jc w:val="center"/>
            </w:pPr>
            <w:r>
              <w:rPr>
                <w:b/>
                <w:bCs/>
                <w:color w:val="7A3B69"/>
                <w:sz w:val="60"/>
                <w:szCs w:val="60"/>
              </w:rPr>
              <w:t xml:space="preserve">l</w:t>
            </w:r>
          </w:p>
        </w:tc>
        <w:tc>
          <w:tcPr>
            <w:tcW w:type="dxa" w:w="2700"/>
            <w:vAlign w:val="center"/>
          </w:tcPr>
          <w:p>
            <w:pPr>
              <w:jc w:val="center"/>
            </w:pPr>
            <w:r>
              <w:rPr>
                <w:b/>
                <w:bCs/>
                <w:color w:val="7A3B69"/>
                <w:sz w:val="60"/>
                <w:szCs w:val="60"/>
              </w:rPr>
              <w:t xml:space="preserve">m</w:t>
            </w:r>
          </w:p>
        </w:tc>
        <w:tc>
          <w:tcPr>
            <w:tcW w:type="dxa" w:w="2700"/>
            <w:vAlign w:val="center"/>
          </w:tcPr>
          <w:p>
            <w:pPr>
              <w:jc w:val="center"/>
            </w:pPr>
            <w:r>
              <w:rPr>
                <w:b/>
                <w:bCs/>
                <w:color w:val="7A3B69"/>
                <w:sz w:val="60"/>
                <w:szCs w:val="60"/>
              </w:rPr>
              <w:t xml:space="preserve">n</w:t>
            </w:r>
          </w:p>
        </w:tc>
      </w:tr>
      <w:tr>
        <w:trPr>
          <w:trHeight w:val="1500" w:hRule="atLeast"/>
        </w:trPr>
        <w:tc>
          <w:tcPr>
            <w:tcW w:type="dxa" w:w="2700"/>
            <w:vAlign w:val="center"/>
          </w:tcPr>
          <w:p>
            <w:pPr>
              <w:jc w:val="center"/>
            </w:pPr>
            <w:r>
              <w:rPr>
                <w:b/>
                <w:bCs/>
                <w:color w:val="7A3B69"/>
                <w:sz w:val="60"/>
                <w:szCs w:val="60"/>
              </w:rPr>
              <w:t xml:space="preserve">k</w:t>
            </w:r>
          </w:p>
        </w:tc>
        <w:tc>
          <w:tcPr>
            <w:tcW w:type="dxa" w:w="2700"/>
            <w:vAlign w:val="center"/>
          </w:tcPr>
          <w:p>
            <w:pPr>
              <w:jc w:val="center"/>
            </w:pPr>
            <w:r>
              <w:rPr>
                <w:b/>
                <w:bCs/>
                <w:color w:val="7A3B69"/>
                <w:sz w:val="60"/>
                <w:szCs w:val="60"/>
              </w:rPr>
              <w:t xml:space="preserve">p</w:t>
            </w:r>
          </w:p>
        </w:tc>
        <w:tc>
          <w:tcPr>
            <w:tcW w:type="dxa" w:w="2700"/>
            <w:vAlign w:val="center"/>
          </w:tcPr>
          <w:p>
            <w:pPr>
              <w:jc w:val="center"/>
            </w:pPr>
            <w:r>
              <w:rPr>
                <w:b/>
                <w:bCs/>
                <w:color w:val="7A3B69"/>
                <w:sz w:val="60"/>
                <w:szCs w:val="60"/>
              </w:rPr>
              <w:t xml:space="preserve">b</w:t>
            </w:r>
          </w:p>
        </w:tc>
        <w:tc>
          <w:tcPr>
            <w:tcW w:type="dxa" w:w="2700"/>
            <w:vAlign w:val="center"/>
          </w:tcPr>
          <w:p>
            <w:pPr>
              <w:jc w:val="center"/>
            </w:pPr>
            <w:r>
              <w:rPr>
                <w:b/>
                <w:bCs/>
                <w:color w:val="7A3B69"/>
                <w:sz w:val="60"/>
                <w:szCs w:val="60"/>
              </w:rPr>
              <w:t xml:space="preserve">d</w:t>
            </w:r>
          </w:p>
        </w:tc>
      </w:tr>
      <w:tr>
        <w:trPr>
          <w:trHeight w:val="1500" w:hRule="atLeast"/>
        </w:trPr>
        <w:tc>
          <w:tcPr>
            <w:tcW w:type="dxa" w:w="2700"/>
            <w:vAlign w:val="center"/>
          </w:tcPr>
          <w:p>
            <w:pPr>
              <w:jc w:val="center"/>
            </w:pPr>
            <w:r>
              <w:rPr>
                <w:b/>
                <w:bCs/>
                <w:color w:val="7A3B69"/>
                <w:sz w:val="60"/>
                <w:szCs w:val="60"/>
              </w:rPr>
              <w:t xml:space="preserve">g</w:t>
            </w:r>
          </w:p>
        </w:tc>
        <w:tc>
          <w:tcPr>
            <w:tcW w:type="dxa" w:w="2700"/>
            <w:vAlign w:val="center"/>
          </w:tcPr>
          <w:p>
            <w:r>
              <w:t xml:space="preserve"/>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bl>
    <w:p>
      <w:r>
        <w:br w:type="page"/>
      </w:r>
    </w:p>
    <w:p>
      <w:pPr>
        <w:pStyle w:val="Heading2"/>
        <w:keepNext/>
        <w:spacing w:after="100" w:before="280"/>
      </w:pPr>
      <w:r>
        <w:rPr>
          <w:b/>
          <w:bCs/>
          <w:color w:val="7A3B69"/>
          <w:sz w:val="28"/>
          <w:szCs w:val="28"/>
        </w:rPr>
        <w:t xml:space="preserve">8B  Research Project —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we know more than 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the person says yes, freely, before we ask them anything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2"/>
        <w:keepNext/>
        <w:spacing w:after="100" w:before="280"/>
      </w:pPr>
      <w:r>
        <w:rPr>
          <w:b/>
          <w:bCs/>
          <w:color w:val="7A3B69"/>
          <w:sz w:val="28"/>
          <w:szCs w:val="28"/>
        </w:rPr>
        <w:t xml:space="preserve">8C  Agency in Learning — picture cards</w:t>
      </w:r>
    </w:p>
    <w:p>
      <w:pPr>
        <w:spacing w:after="140" w:before="0" w:line="30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1800" w:line="300"/>
      </w:pPr>
      <w:r>
        <w:rPr>
          <w:b/>
          <w:bCs/>
          <w:color w:val="6E7A2E"/>
          <w:sz w:val="24"/>
          <w:szCs w:val="24"/>
        </w:rPr>
        <w:t xml:space="preserve">PART 9</w:t>
      </w:r>
    </w:p>
    <w:p>
      <w:pPr>
        <w:pStyle w:val="Heading1"/>
        <w:spacing w:after="120"/>
      </w:pPr>
      <w:r>
        <w:rPr>
          <w:b/>
          <w:bCs/>
          <w:color w:val="1F3A5F"/>
          <w:sz w:val="44"/>
          <w:szCs w:val="44"/>
        </w:rPr>
        <w:t xml:space="preserve">Part 9 — Records</w:t>
      </w:r>
    </w:p>
    <w:p>
      <w:pPr>
        <w:spacing w:after="140" w:before="0" w:line="300"/>
      </w:pPr>
      <w:r>
        <w:rPr>
          <w:color w:val="5A6473"/>
          <w:sz w:val="23"/>
          <w:szCs w:val="23"/>
        </w:rPr>
        <w:t xml:space="preserve">Two assessment records, one per assessed competency, filled at Week 6 and again at Week 12 — plus the mentor’s record, one page per learner for the whole twelve weeks. Make one copy of each per learner and put their name on it.</w:t>
      </w:r>
    </w:p>
    <w:p>
      <w:r>
        <w:br w:type="page"/>
      </w:r>
    </w:p>
    <w:p>
      <w:pPr>
        <w:pStyle w:val="Heading2"/>
        <w:keepNext/>
        <w:spacing w:after="100" w:before="280"/>
      </w:pPr>
      <w:r>
        <w:rPr>
          <w:b/>
          <w:bCs/>
          <w:color w:val="7A3B69"/>
          <w:sz w:val="28"/>
          <w:szCs w:val="28"/>
        </w:rPr>
        <w:t xml:space="preserve">9A  Agency in Learning — Set and pursue goals (FSL2)</w:t>
      </w:r>
    </w:p>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9B  Research Project — Investigate real-world issues (FSI1)</w:t>
      </w:r>
    </w:p>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9C  Mentoring — the mentor’s record</w:t>
      </w:r>
    </w:p>
    <w:p>
      <w:pPr>
        <w:spacing w:after="40" w:before="0" w:line="300"/>
      </w:pPr>
      <w:r>
        <w:rPr>
          <w:b/>
          <w:bCs/>
          <w:color w:val="1F3A5F"/>
          <w:sz w:val="44"/>
          <w:szCs w:val="44"/>
        </w:rPr>
        <w:t xml:space="preserve">Mentor’s record</w:t>
      </w:r>
    </w:p>
    <w:p>
      <w:pPr>
        <w:spacing w:after="40" w:before="0" w:line="300"/>
      </w:pPr>
      <w:r>
        <w:rPr>
          <w:b/>
          <w:bCs/>
          <w:color w:val="7A3B69"/>
          <w:sz w:val="24"/>
          <w:szCs w:val="24"/>
        </w:rPr>
        <w:t xml:space="preserve">One page per learner · the whole twelve weeks</w:t>
      </w:r>
    </w:p>
    <w:p>
      <w:pPr>
        <w:spacing w:after="160" w:before="0" w:line="300"/>
      </w:pPr>
      <w:r>
        <w:rPr>
          <w:color w:val="5A6473"/>
          <w:sz w:val="20"/>
          <w:szCs w:val="20"/>
        </w:rPr>
        <w:t xml:space="preserve">Learning Bridge+ (Cox's Bazar)  ·  make one copy per learner on your caseload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TEST FOR ANYTHING YOU WRITE HERE</w:t>
            </w:r>
          </w:p>
          <w:p>
            <w:pPr>
              <w:spacing w:after="90" w:before="0" w:line="300"/>
            </w:pPr>
            <w:r>
              <w:rPr>
                <w:sz w:val="21"/>
                <w:szCs w:val="21"/>
              </w:rPr>
              <w:t xml:space="preserve">Would you be willing to read this line aloud to the learner? If not, it does not go on this page.</w:t>
            </w:r>
          </w:p>
          <w:p>
            <w:pPr>
              <w:spacing w:after="90" w:before="0" w:line="300"/>
            </w:pPr>
            <w:r>
              <w:rPr>
                <w:sz w:val="21"/>
                <w:szCs w:val="21"/>
              </w:rPr>
              <w:t xml:space="preserve">Details of a disclosure are NOT recorded here. They go, separately and in the learner’s own words, to the person you refer to.</w:t>
            </w:r>
          </w:p>
          <w:p>
            <w:pPr>
              <w:spacing w:after="0" w:before="0" w:line="300"/>
            </w:pPr>
            <w:r>
              <w:rPr>
                <w:sz w:val="21"/>
                <w:szCs w:val="21"/>
              </w:rPr>
              <w:t xml:space="preserve">One page, one learner. Keep it where another learner cannot read it.</w:t>
            </w:r>
          </w:p>
        </w:tc>
      </w:tr>
    </w:tbl>
    <w:p>
      <w:pPr>
        <w:spacing w:after="140"/>
      </w:pPr>
      <w:r>
        <w:rPr>
          <w:b/>
          <w:bCs/>
          <w:color w:val="1F3A5F"/>
          <w:sz w:val="21"/>
          <w:szCs w:val="21"/>
        </w:rPr>
        <w:t xml:space="preserve">Learner  </w:t>
      </w:r>
      <w:r>
        <w:rPr>
          <w:color w:val="B9B3A6"/>
          <w:sz w:val="21"/>
          <w:szCs w:val="21"/>
        </w:rPr>
        <w:t xml:space="preserve">____________________________</w:t>
      </w:r>
    </w:p>
    <w:p>
      <w:pPr>
        <w:spacing w:after="140"/>
      </w:pPr>
      <w:r>
        <w:rPr>
          <w:b/>
          <w:bCs/>
          <w:color w:val="1F3A5F"/>
          <w:sz w:val="21"/>
          <w:szCs w:val="21"/>
        </w:rPr>
        <w:t xml:space="preserve">Language we talk in  </w:t>
      </w:r>
      <w:r>
        <w:rPr>
          <w:color w:val="B9B3A6"/>
          <w:sz w:val="21"/>
          <w:szCs w:val="21"/>
        </w:rPr>
        <w:t xml:space="preserve">____________________________</w:t>
      </w:r>
    </w:p>
    <w:p>
      <w:pPr>
        <w:spacing w:after="140"/>
      </w:pPr>
      <w:r>
        <w:rPr>
          <w:b/>
          <w:bCs/>
          <w:color w:val="1F3A5F"/>
          <w:sz w:val="21"/>
          <w:szCs w:val="21"/>
        </w:rPr>
        <w:t xml:space="preserve">Their other facilitators  </w:t>
      </w:r>
      <w:r>
        <w:rPr>
          <w:color w:val="B9B3A6"/>
          <w:sz w:val="21"/>
          <w:szCs w:val="21"/>
        </w:rPr>
        <w:t xml:space="preserve">____________________________</w:t>
      </w:r>
    </w:p>
    <w:p>
      <w:pPr>
        <w:spacing w:after="140"/>
      </w:pPr>
      <w:r>
        <w:rPr>
          <w:b/>
          <w:bCs/>
          <w:color w:val="1F3A5F"/>
          <w:sz w:val="21"/>
          <w:szCs w:val="21"/>
        </w:rPr>
        <w:t xml:space="preserve">Their learning goal (update it when it changes)  </w:t>
      </w:r>
      <w:r>
        <w:rPr>
          <w:color w:val="B9B3A6"/>
          <w:sz w:val="21"/>
          <w:szCs w:val="21"/>
        </w:rPr>
        <w:t xml:space="preserve">____________________________</w:t>
      </w:r>
    </w:p>
    <w:p>
      <w:pPr>
        <w:spacing w:after="120" w:before="0" w:line="300"/>
      </w:pPr>
      <w:r>
        <w:rPr>
          <w:color w:val="5A6473"/>
          <w:sz w:val="19"/>
          <w:szCs w:val="19"/>
        </w:rPr>
        <w:t xml:space="preserve">Flag key:   ! = watch this   → = referred (write the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3400"/>
        <w:gridCol w:w="2100"/>
        <w:gridCol w:w="800"/>
      </w:tblGrid>
      <w:tr>
        <w:trPr>
          <w:tblHeader/>
        </w:trPr>
        <w:tc>
          <w:tcPr>
            <w:tcW w:type="dxa" w:w="900"/>
            <w:tcMar>
              <w:top w:type="dxa" w:w="90"/>
              <w:left w:type="dxa" w:w="120"/>
              <w:bottom w:type="dxa" w:w="90"/>
              <w:right w:type="dxa" w:w="120"/>
            </w:tcMar>
          </w:tcPr>
          <w:p>
            <w:r>
              <w:rPr>
                <w:b/>
                <w:bCs/>
                <w:color w:val="1F3A5F"/>
                <w:sz w:val="17"/>
                <w:szCs w:val="17"/>
              </w:rPr>
              <w:t xml:space="preserve">Week</w:t>
            </w:r>
          </w:p>
        </w:tc>
        <w:tc>
          <w:tcPr>
            <w:tcW w:type="dxa" w:w="3600"/>
            <w:tcMar>
              <w:top w:type="dxa" w:w="90"/>
              <w:left w:type="dxa" w:w="120"/>
              <w:bottom w:type="dxa" w:w="90"/>
              <w:right w:type="dxa" w:w="120"/>
            </w:tcMar>
          </w:tcPr>
          <w:p>
            <w:r>
              <w:rPr>
                <w:b/>
                <w:bCs/>
                <w:color w:val="1F3A5F"/>
                <w:sz w:val="17"/>
                <w:szCs w:val="17"/>
              </w:rPr>
              <w:t xml:space="preserve">Step we agreed</w:t>
            </w:r>
          </w:p>
        </w:tc>
        <w:tc>
          <w:tcPr>
            <w:tcW w:type="dxa" w:w="3400"/>
            <w:tcMar>
              <w:top w:type="dxa" w:w="90"/>
              <w:left w:type="dxa" w:w="120"/>
              <w:bottom w:type="dxa" w:w="90"/>
              <w:right w:type="dxa" w:w="120"/>
            </w:tcMar>
          </w:tcPr>
          <w:p>
            <w:r>
              <w:rPr>
                <w:b/>
                <w:bCs/>
                <w:color w:val="1F3A5F"/>
                <w:sz w:val="17"/>
                <w:szCs w:val="17"/>
              </w:rPr>
              <w:t xml:space="preserve">What I noticed (facts, not diagnosis)</w:t>
            </w:r>
          </w:p>
        </w:tc>
        <w:tc>
          <w:tcPr>
            <w:tcW w:type="dxa" w:w="2100"/>
            <w:tcMar>
              <w:top w:type="dxa" w:w="90"/>
              <w:left w:type="dxa" w:w="120"/>
              <w:bottom w:type="dxa" w:w="90"/>
              <w:right w:type="dxa" w:w="120"/>
            </w:tcMar>
          </w:tcPr>
          <w:p>
            <w:r>
              <w:rPr>
                <w:b/>
                <w:bCs/>
                <w:color w:val="1F3A5F"/>
                <w:sz w:val="17"/>
                <w:szCs w:val="17"/>
              </w:rPr>
              <w:t xml:space="preserve">Last step happened?</w:t>
            </w:r>
          </w:p>
        </w:tc>
        <w:tc>
          <w:tcPr>
            <w:tcW w:type="dxa" w:w="800"/>
            <w:tcMar>
              <w:top w:type="dxa" w:w="90"/>
              <w:left w:type="dxa" w:w="120"/>
              <w:bottom w:type="dxa" w:w="90"/>
              <w:right w:type="dxa" w:w="120"/>
            </w:tcMar>
          </w:tcPr>
          <w:p>
            <w:r>
              <w:rPr>
                <w:b/>
                <w:bCs/>
                <w:color w:val="1F3A5F"/>
                <w:sz w:val="17"/>
                <w:szCs w:val="17"/>
              </w:rPr>
              <w:t xml:space="preserve">Flag</w:t>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3</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4</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5</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6</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7</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8</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9</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10</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bl>
    <w:p>
      <w:pPr>
        <w:spacing w:after="140" w:before="160" w:line="300"/>
      </w:pPr>
      <w:r>
        <w:rPr>
          <w:b/>
          <w:bCs/>
          <w:color w:val="6E7A2E"/>
          <w:sz w:val="20"/>
          <w:szCs w:val="20"/>
        </w:rPr>
        <w:t xml:space="preserve">Read the WHOLE page every few weeks, not just the last row. The pattern is the point, and it is invisible one row at a time.</w:t>
      </w:r>
    </w:p>
    <w:p>
      <w:pPr>
        <w:spacing w:after="140" w:before="60" w:line="300"/>
      </w:pPr>
      <w:r>
        <w:rPr>
          <w:b/>
          <w:bCs/>
          <w:color w:val="5A6473"/>
          <w:sz w:val="20"/>
          <w:szCs w:val="20"/>
        </w:rPr>
        <w:t xml:space="preserve">Bring this to the Week-6 and Week-12 judgements. What you saw and heard in mentoring is legitimate evidence — for a learner who cannot yet write, it may be your strongest.</w:t>
      </w:r>
    </w:p>
    <w:p>
      <w:r>
        <w:br w:type="page"/>
      </w:r>
    </w:p>
    <w:p>
      <w:pPr>
        <w:spacing w:after="140" w:before="240" w:line="30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0c5c2271445abbbb41422a0b62c67465b85d32b4.png"/><Relationship Id="rId10" Type="http://schemas.openxmlformats.org/officeDocument/2006/relationships/image" Target="media/69324f43ccecd888ad93839b2b426b99a25e05c6.png"/><Relationship Id="rId11" Type="http://schemas.openxmlformats.org/officeDocument/2006/relationships/image" Target="media/60c6178dd0234d9e55be7204ca332e1773219440.png"/><Relationship Id="rId12" Type="http://schemas.openxmlformats.org/officeDocument/2006/relationships/image" Target="media/5722e02942db2cdeb973eb08c910414774804eda.png"/><Relationship Id="rId13" Type="http://schemas.openxmlformats.org/officeDocument/2006/relationships/image" Target="media/ca4503fb9ef8fee1ea36ceb8598d55b59f498801.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2026-08-24T04:55:56.303Z</dcterms:created>
  <dcterms:modified xsi:type="dcterms:W3CDTF">2026-08-24T04:55:56.303Z</dcterms:modified>
</cp:coreProperties>
</file>

<file path=docProps/custom.xml><?xml version="1.0" encoding="utf-8"?>
<Properties xmlns="http://schemas.openxmlformats.org/officeDocument/2006/custom-properties" xmlns:vt="http://schemas.openxmlformats.org/officeDocument/2006/docPropsVTypes"/>
</file>