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Mentoring and Wellbeing</w:t>
      </w:r>
    </w:p>
    <w:p>
      <w:pPr>
        <w:spacing w:after="200" w:before="0" w:line="300"/>
      </w:pPr>
      <w:r>
        <w:rPr>
          <w:b/>
          <w:bCs/>
          <w:color w:val="7A3B69"/>
          <w:sz w:val="30"/>
          <w:szCs w:val="30"/>
        </w:rPr>
        <w:t xml:space="preserve">Mentor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"Safeguarding and referral" and "The ten-minute conversation" first — those two you need in your hand.</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sections of this guide,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plan for the fourth component: short 1:1 conversations, most weeks, folded into the in-person time the other three components already use. It is set out as an arc rather than in hours, because a mentoring relationship over twelve weeks has phases — getting known, keeping the goal alive, the week-6 checkpoint, surfacing growth, and an honest closing conversation — and which phase you are in changes what the conversation is for. It adds no hours to the timetable.</w:t>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1"/>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2"/>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2"/>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1"/>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2"/>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2"/>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2"/>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2"/>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2"/>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2"/>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1"/>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2"/>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2"/>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2"/>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2"/>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2"/>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2"/>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2"/>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2"/>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1"/>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2"/>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2"/>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2"/>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2"/>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2"/>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2"/>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1"/>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2"/>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2"/>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2"/>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2"/>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2"/>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2"/>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2"/>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1"/>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2"/>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3"/>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3"/>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3"/>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3"/>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2"/>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3"/>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2"/>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3"/>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3"/>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2"/>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3"/>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2"/>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3"/>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3"/>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2"/>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3"/>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1"/>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2"/>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2"/>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2"/>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2"/>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2"/>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1"/>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2"/>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2"/>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2"/>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2"/>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2"/>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1"/>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2"/>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2"/>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2"/>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2"/>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3"/>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3"/>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3"/>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1"/>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2"/>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2"/>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2"/>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2"/>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2"/>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240" w:line="300"/>
      </w:pPr>
      <w:r>
        <w:rPr>
          <w:color w:val="5A6473"/>
          <w:sz w:val="18"/>
          <w:szCs w:val="18"/>
        </w:rPr>
        <w:t xml:space="preserve">This guide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Learning Bridge+ (Cox's Bazar) · Mentoring and Wellbeing · Amala Education with NRC</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2026-08-24T03:05:06.313Z</dcterms:created>
  <dcterms:modified xsi:type="dcterms:W3CDTF">2026-08-24T03:05:06.314Z</dcterms:modified>
</cp:coreProperties>
</file>

<file path=docProps/custom.xml><?xml version="1.0" encoding="utf-8"?>
<Properties xmlns="http://schemas.openxmlformats.org/officeDocument/2006/custom-properties" xmlns:vt="http://schemas.openxmlformats.org/officeDocument/2006/docPropsVTypes"/>
</file>