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left"/>
      </w:pPr>
      <w:r>
        <w:drawing>
          <wp:inline distT="0" distB="0" distL="0" distR="0">
            <wp:extent cx="14287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57200"/>
                    </a:xfrm>
                    <a:prstGeom prst="rect">
                      <a:avLst/>
                    </a:prstGeom>
                  </pic:spPr>
                </pic:pic>
              </a:graphicData>
            </a:graphic>
          </wp:inline>
        </w:drawing>
      </w:r>
    </w:p>
    <w:p>
      <w:pPr>
        <w:spacing w:after="80"/>
      </w:pPr>
      <w:r>
        <w:rPr>
          <w:b/>
          <w:bCs/>
          <w:color w:val="6E7A2E"/>
          <w:spacing w:val="24"/>
          <w:sz w:val="17"/>
          <w:szCs w:val="17"/>
        </w:rPr>
        <w:t xml:space="preserve">FOR THE TRAINER</w:t>
      </w:r>
    </w:p>
    <w:p>
      <w:pPr>
        <w:pStyle w:val="Heading2"/>
        <w:keepNext/>
        <w:spacing w:after="180" w:before="160"/>
      </w:pPr>
      <w:r>
        <w:rPr>
          <w:b/>
          <w:bCs/>
          <w:color w:val="1F3A5F"/>
          <w:sz w:val="38"/>
          <w:szCs w:val="38"/>
        </w:rPr>
        <w:t xml:space="preserve">Training Amala's educators</w:t>
      </w:r>
    </w:p>
    <w:p>
      <w:pPr>
        <w:spacing w:after="220"/>
      </w:pPr>
      <w:r>
        <w:rPr>
          <w:b/>
          <w:bCs/>
          <w:color w:val="7A3B69"/>
          <w:sz w:val="28"/>
          <w:szCs w:val="28"/>
        </w:rPr>
        <w:t xml:space="preserve">Calibration pack</w:t>
      </w:r>
    </w:p>
    <w:p>
      <w:pPr>
        <w:spacing w:after="140" w:before="0" w:line="300"/>
      </w:pPr>
      <w:r>
        <w:rPr>
          <w:sz w:val="22"/>
          <w:szCs w:val="22"/>
        </w:rPr>
        <w:t xml:space="preserve">Two sample submissions and the reference judgements on them. The submissions go to participants for Independent Work 1; the judgements stay with you until Session 2.</w:t>
      </w:r>
    </w:p>
    <w:p>
      <w:pPr>
        <w:pBdr>
          <w:bottom w:val="single" w:color="B9B3A6" w:sz="4"/>
        </w:pBdr>
        <w:spacing w:after="180" w:before="60"/>
      </w:pP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DO NOT CIRCULATE THIS WHOLE DOCUMENT</w:t>
            </w:r>
          </w:p>
          <w:p>
            <w:pPr>
              <w:spacing w:after="0" w:before="0" w:line="300"/>
            </w:pPr>
            <w:r>
              <w:rPr>
                <w:sz w:val="21"/>
                <w:szCs w:val="21"/>
              </w:rPr>
              <w:t xml:space="preserve">Participants receive the two submissions only. The reference judgements are the second half of this pack and revealing them early removes the exercise.</w:t>
            </w:r>
          </w:p>
        </w:tc>
      </w:tr>
    </w:tbl>
    <w:p>
      <w:pPr>
        <w:spacing w:after="140" w:before="0" w:line="300"/>
      </w:pPr>
      <w:r>
        <w:rPr>
          <w:sz w:val="22"/>
          <w:szCs w:val="22"/>
        </w:rPr>
        <w:t xml:space="preserve">Both submissions are written against "Designing and facilitating group-based learning" and are judged on its three criteria, reproduced below. Neither is a real submission - real ones carry participants' personal information and are never reused.</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87"/>
        <w:gridCol w:w="6382"/>
      </w:tblGrid>
      <w:tr>
        <w:trPr>
          <w:tblHeader/>
        </w:trPr>
        <w:tc>
          <w:tcPr>
            <w:tcW w:type="dxa" w:w="2687"/>
            <w:tcMar>
              <w:top w:type="dxa" w:w="70"/>
              <w:left w:type="dxa" w:w="130"/>
              <w:bottom w:type="dxa" w:w="70"/>
              <w:right w:type="dxa" w:w="130"/>
            </w:tcMar>
          </w:tcPr>
          <w:p>
            <w:pPr>
              <w:spacing w:line="260"/>
            </w:pPr>
            <w:r>
              <w:rPr>
                <w:b/>
                <w:bCs/>
                <w:color w:val="1F3A5F"/>
                <w:sz w:val="19"/>
                <w:szCs w:val="19"/>
              </w:rPr>
              <w:t xml:space="preserve">Criterion</w:t>
            </w:r>
          </w:p>
        </w:tc>
        <w:tc>
          <w:tcPr>
            <w:tcW w:type="dxa" w:w="6382"/>
            <w:tcMar>
              <w:top w:type="dxa" w:w="70"/>
              <w:left w:type="dxa" w:w="130"/>
              <w:bottom w:type="dxa" w:w="70"/>
              <w:right w:type="dxa" w:w="130"/>
            </w:tcMar>
          </w:tcPr>
          <w:p>
            <w:pPr>
              <w:spacing w:line="260"/>
            </w:pPr>
            <w:r>
              <w:rPr>
                <w:b/>
                <w:bCs/>
                <w:color w:val="1F3A5F"/>
                <w:sz w:val="19"/>
                <w:szCs w:val="19"/>
              </w:rPr>
              <w:t xml:space="preserve">Met when</w:t>
            </w:r>
          </w:p>
        </w:tc>
      </w:tr>
      <w:tr>
        <w:tc>
          <w:tcPr>
            <w:tcW w:type="dxa" w:w="2687"/>
            <w:tcMar>
              <w:top w:type="dxa" w:w="70"/>
              <w:left w:type="dxa" w:w="130"/>
              <w:bottom w:type="dxa" w:w="70"/>
              <w:right w:type="dxa" w:w="130"/>
            </w:tcMar>
          </w:tcPr>
          <w:p>
            <w:pPr>
              <w:spacing w:line="260"/>
            </w:pPr>
            <w:r>
              <w:rPr>
                <w:b/>
                <w:bCs/>
                <w:color w:val="7A3B69"/>
                <w:sz w:val="19"/>
                <w:szCs w:val="19"/>
              </w:rPr>
              <w:t xml:space="preserve">Grounded in context</w:t>
            </w:r>
          </w:p>
        </w:tc>
        <w:tc>
          <w:tcPr>
            <w:tcW w:type="dxa" w:w="6382"/>
            <w:tcMar>
              <w:top w:type="dxa" w:w="70"/>
              <w:left w:type="dxa" w:w="130"/>
              <w:bottom w:type="dxa" w:w="70"/>
              <w:right w:type="dxa" w:w="130"/>
            </w:tcMar>
          </w:tcPr>
          <w:p>
            <w:pPr>
              <w:spacing w:line="260"/>
            </w:pPr>
            <w:r>
              <w:rPr>
                <w:b w:val="false"/>
                <w:bCs w:val="false"/>
                <w:sz w:val="19"/>
                <w:szCs w:val="19"/>
              </w:rPr>
              <w:t xml:space="preserve">The design builds on the Section 1 analysis of learners and context. It is specific to this group, not generic.</w:t>
            </w:r>
          </w:p>
        </w:tc>
      </w:tr>
      <w:tr>
        <w:tc>
          <w:tcPr>
            <w:tcW w:type="dxa" w:w="2687"/>
            <w:tcMar>
              <w:top w:type="dxa" w:w="70"/>
              <w:left w:type="dxa" w:w="130"/>
              <w:bottom w:type="dxa" w:w="70"/>
              <w:right w:type="dxa" w:w="130"/>
            </w:tcMar>
          </w:tcPr>
          <w:p>
            <w:pPr>
              <w:spacing w:line="260"/>
            </w:pPr>
            <w:r>
              <w:rPr>
                <w:b/>
                <w:bCs/>
                <w:color w:val="7A3B69"/>
                <w:sz w:val="19"/>
                <w:szCs w:val="19"/>
              </w:rPr>
              <w:t xml:space="preserve">Key principles evidenced</w:t>
            </w:r>
          </w:p>
        </w:tc>
        <w:tc>
          <w:tcPr>
            <w:tcW w:type="dxa" w:w="6382"/>
            <w:tcMar>
              <w:top w:type="dxa" w:w="70"/>
              <w:left w:type="dxa" w:w="130"/>
              <w:bottom w:type="dxa" w:w="70"/>
              <w:right w:type="dxa" w:w="130"/>
            </w:tcMar>
          </w:tcPr>
          <w:p>
            <w:pPr>
              <w:spacing w:line="260"/>
            </w:pPr>
            <w:r>
              <w:rPr>
                <w:b w:val="false"/>
                <w:bCs w:val="false"/>
                <w:sz w:val="19"/>
                <w:szCs w:val="19"/>
              </w:rPr>
              <w:t xml:space="preserve">The design of the first 10 hours shows the two or three most important principles for this course working in practice, not just listed.</w:t>
            </w:r>
          </w:p>
        </w:tc>
      </w:tr>
      <w:tr>
        <w:tc>
          <w:tcPr>
            <w:tcW w:type="dxa" w:w="2687"/>
            <w:tcMar>
              <w:top w:type="dxa" w:w="70"/>
              <w:left w:type="dxa" w:w="130"/>
              <w:bottom w:type="dxa" w:w="70"/>
              <w:right w:type="dxa" w:w="130"/>
            </w:tcMar>
          </w:tcPr>
          <w:p>
            <w:pPr>
              <w:spacing w:line="260"/>
            </w:pPr>
            <w:r>
              <w:rPr>
                <w:b/>
                <w:bCs/>
                <w:color w:val="7A3B69"/>
                <w:sz w:val="19"/>
                <w:szCs w:val="19"/>
              </w:rPr>
              <w:t xml:space="preserve">Coherent and deliverable</w:t>
            </w:r>
          </w:p>
        </w:tc>
        <w:tc>
          <w:tcPr>
            <w:tcW w:type="dxa" w:w="6382"/>
            <w:tcMar>
              <w:top w:type="dxa" w:w="70"/>
              <w:left w:type="dxa" w:w="130"/>
              <w:bottom w:type="dxa" w:w="70"/>
              <w:right w:type="dxa" w:w="130"/>
            </w:tcMar>
          </w:tcPr>
          <w:p>
            <w:pPr>
              <w:spacing w:line="260"/>
            </w:pPr>
            <w:r>
              <w:rPr>
                <w:b w:val="false"/>
                <w:bCs w:val="false"/>
                <w:sz w:val="19"/>
                <w:szCs w:val="19"/>
              </w:rPr>
              <w:t xml:space="preserve">The 10 hours are well paced, balance facilitated and independent time, and set up what follows in the course.</w:t>
            </w:r>
          </w:p>
        </w:tc>
      </w:tr>
    </w:tbl>
    <w:p>
      <w:pPr>
        <w:spacing w:after="140" w:before="0" w:line="300"/>
      </w:pPr>
      <w:r>
        <w:rPr>
          <w:sz w:val="22"/>
          <w:szCs w:val="22"/>
        </w:rPr>
        <w:t xml:space="preserve">All three criteria Met is a pass. If any criterion is Not yet, the trainer gives specific written feedback and the educator has one resit - a revised submission, with no follow-up call. If the resit is still Not yet, the educator re-enrols on a future cohort.</w:t>
      </w:r>
    </w:p>
    <w:p>
      <w:pPr>
        <w:pStyle w:val="Heading1"/>
        <w:keepNext/>
        <w:spacing w:after="140" w:before="320"/>
      </w:pPr>
      <w:r>
        <w:rPr>
          <w:b/>
          <w:bCs/>
          <w:color w:val="1F3A5F"/>
          <w:sz w:val="36"/>
          <w:szCs w:val="36"/>
        </w:rPr>
        <w:t xml:space="preserve">Part 1 - the submissions</w:t>
      </w:r>
    </w:p>
    <w:p>
      <w:pPr>
        <w:spacing w:after="140" w:before="0" w:line="300"/>
      </w:pPr>
      <w:r>
        <w:rPr>
          <w:color w:val="5A6473"/>
          <w:sz w:val="20"/>
          <w:szCs w:val="20"/>
        </w:rPr>
        <w:t xml:space="preserve">Give participants this part only.</w:t>
      </w:r>
    </w:p>
    <w:p>
      <w:pPr>
        <w:pStyle w:val="Heading2"/>
        <w:keepNext/>
        <w:spacing w:after="100" w:before="280"/>
      </w:pPr>
      <w:r>
        <w:rPr>
          <w:b/>
          <w:bCs/>
          <w:color w:val="7A3B69"/>
          <w:sz w:val="28"/>
          <w:szCs w:val="28"/>
        </w:rPr>
        <w:t xml:space="preserve">Submission A</w:t>
      </w:r>
    </w:p>
    <w:p>
      <w:pPr>
        <w:spacing w:after="140" w:before="0" w:line="300"/>
      </w:pPr>
      <w:r>
        <w:rPr>
          <w:sz w:val="22"/>
          <w:szCs w:val="22"/>
        </w:rPr>
        <w:t xml:space="preserve">Ten hours planned for a course on employability skills. Neatly typed, every box filled, timings to the minute.</w:t>
      </w:r>
    </w:p>
    <w:p>
      <w:pPr>
        <w:spacing w:after="140" w:before="0" w:line="300"/>
      </w:pPr>
      <w:r>
        <w:rPr>
          <w:sz w:val="22"/>
          <w:szCs w:val="22"/>
        </w:rPr>
        <w:t xml:space="preserve">Section 1, context and learners: "My learners are young adults aged 18-25 who have experienced displacement. They have varied educational backgrounds and face barriers to employment. They are motivated to improve their prospects and will benefit from a supportive learning environment."</w:t>
      </w:r>
    </w:p>
    <w:p>
      <w:pPr>
        <w:spacing w:after="140" w:before="0" w:line="300"/>
      </w:pPr>
      <w:r>
        <w:rPr>
          <w:sz w:val="22"/>
          <w:szCs w:val="22"/>
        </w:rPr>
        <w:t xml:space="preserve">Section 4, hours 1-2: "Icebreaker (15 min). Introductions and ground rules (20 min). What is employability? - facilitator input with slides (35 min). Group discussion: what employers want (30 min). Reflection and close (20 min)."</w:t>
      </w:r>
    </w:p>
    <w:p>
      <w:pPr>
        <w:spacing w:after="140" w:before="0" w:line="300"/>
      </w:pPr>
      <w:r>
        <w:rPr>
          <w:sz w:val="22"/>
          <w:szCs w:val="22"/>
        </w:rPr>
        <w:t xml:space="preserve">Section 4, hours 7-8: "CV workshop. Learners draft a CV using the template. Facilitator circulates and supports. Peer review in pairs. Close."</w:t>
      </w:r>
    </w:p>
    <w:p>
      <w:pPr>
        <w:spacing w:after="140" w:before="0" w:line="300"/>
      </w:pPr>
      <w:r>
        <w:rPr>
          <w:sz w:val="22"/>
          <w:szCs w:val="22"/>
        </w:rPr>
        <w:t xml:space="preserve">Section 5, pre-delivery reflection: "I feel well prepared. I have planned all ten hours and included a range of activities. My main concern is time management. I will address this by keeping to my timings."</w:t>
      </w:r>
    </w:p>
    <w:p>
      <w:pPr>
        <w:keepNext/>
        <w:spacing w:after="60" w:before="180"/>
      </w:pPr>
      <w:r>
        <w:rPr>
          <w:b/>
          <w:bCs/>
          <w:color w:val="6E7A2E"/>
          <w:spacing w:val="24"/>
          <w:sz w:val="17"/>
          <w:szCs w:val="17"/>
        </w:rPr>
        <w:t xml:space="preserve">YOUR TASK</w:t>
      </w:r>
    </w:p>
    <w:p>
      <w:pPr>
        <w:pStyle w:val="ListParagraph"/>
        <w:numPr>
          <w:ilvl w:val="0"/>
          <w:numId w:val="1"/>
        </w:numPr>
        <w:spacing w:after="80" w:line="300"/>
      </w:pPr>
      <w:r>
        <w:rPr>
          <w:sz w:val="22"/>
          <w:szCs w:val="22"/>
        </w:rPr>
        <w:t xml:space="preserve">Decide Met or Not yet on each of the three criteria.</w:t>
      </w:r>
    </w:p>
    <w:p>
      <w:pPr>
        <w:pStyle w:val="ListParagraph"/>
        <w:numPr>
          <w:ilvl w:val="0"/>
          <w:numId w:val="1"/>
        </w:numPr>
        <w:spacing w:after="80" w:line="300"/>
      </w:pPr>
      <w:r>
        <w:rPr>
          <w:sz w:val="22"/>
          <w:szCs w:val="22"/>
        </w:rPr>
        <w:t xml:space="preserve">Write the feedback you would send. Assume it is going to the educator, not to a file.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00"/>
        <w:gridCol w:w="1800"/>
        <w:gridCol w:w="4670"/>
      </w:tblGrid>
      <w:tr>
        <w:trPr>
          <w:tblHeader/>
        </w:trPr>
        <w:tc>
          <w:tcPr>
            <w:tcW w:type="dxa" w:w="2600"/>
            <w:tcMar>
              <w:top w:type="dxa" w:w="70"/>
              <w:left w:type="dxa" w:w="130"/>
              <w:bottom w:type="dxa" w:w="70"/>
              <w:right w:type="dxa" w:w="130"/>
            </w:tcMar>
          </w:tcPr>
          <w:p>
            <w:pPr>
              <w:spacing w:line="260"/>
            </w:pPr>
            <w:r>
              <w:rPr>
                <w:b/>
                <w:bCs/>
                <w:color w:val="1F3A5F"/>
                <w:sz w:val="19"/>
                <w:szCs w:val="19"/>
              </w:rPr>
              <w:t xml:space="preserve">Criterion</w:t>
            </w:r>
          </w:p>
        </w:tc>
        <w:tc>
          <w:tcPr>
            <w:tcW w:type="dxa" w:w="1800"/>
            <w:tcMar>
              <w:top w:type="dxa" w:w="70"/>
              <w:left w:type="dxa" w:w="130"/>
              <w:bottom w:type="dxa" w:w="70"/>
              <w:right w:type="dxa" w:w="130"/>
            </w:tcMar>
          </w:tcPr>
          <w:p>
            <w:pPr>
              <w:spacing w:line="260"/>
            </w:pPr>
            <w:r>
              <w:rPr>
                <w:b/>
                <w:bCs/>
                <w:color w:val="1F3A5F"/>
                <w:sz w:val="19"/>
                <w:szCs w:val="19"/>
              </w:rPr>
              <w:t xml:space="preserve">Met / Not yet</w:t>
            </w:r>
          </w:p>
        </w:tc>
        <w:tc>
          <w:tcPr>
            <w:tcW w:type="dxa" w:w="4670"/>
            <w:tcMar>
              <w:top w:type="dxa" w:w="70"/>
              <w:left w:type="dxa" w:w="130"/>
              <w:bottom w:type="dxa" w:w="70"/>
              <w:right w:type="dxa" w:w="130"/>
            </w:tcMar>
          </w:tcPr>
          <w:p>
            <w:pPr>
              <w:spacing w:line="260"/>
            </w:pPr>
            <w:r>
              <w:rPr>
                <w:b/>
                <w:bCs/>
                <w:color w:val="1F3A5F"/>
                <w:sz w:val="19"/>
                <w:szCs w:val="19"/>
              </w:rPr>
              <w:t xml:space="preserve">Your feedback</w:t>
            </w:r>
          </w:p>
        </w:tc>
      </w:tr>
      <w:tr>
        <w:tc>
          <w:tcPr>
            <w:tcW w:type="dxa" w:w="2600"/>
            <w:tcMar>
              <w:top w:type="dxa" w:w="70"/>
              <w:left w:type="dxa" w:w="130"/>
              <w:bottom w:type="dxa" w:w="70"/>
              <w:right w:type="dxa" w:w="130"/>
            </w:tcMar>
          </w:tcPr>
          <w:p>
            <w:pPr>
              <w:spacing w:line="260"/>
            </w:pPr>
            <w:r>
              <w:rPr>
                <w:b/>
                <w:bCs/>
                <w:color w:val="7A3B69"/>
                <w:sz w:val="19"/>
                <w:szCs w:val="19"/>
              </w:rPr>
              <w:t xml:space="preserve">Grounded in context</w:t>
            </w:r>
          </w:p>
        </w:tc>
        <w:tc>
          <w:tcPr>
            <w:tcW w:type="dxa" w:w="1800"/>
            <w:tcMar>
              <w:top w:type="dxa" w:w="70"/>
              <w:left w:type="dxa" w:w="130"/>
              <w:bottom w:type="dxa" w:w="70"/>
              <w:right w:type="dxa" w:w="130"/>
            </w:tcMar>
          </w:tcPr>
          <w:p>
            <w:pPr>
              <w:spacing w:line="260"/>
            </w:pPr>
            <w:r>
              <w:rPr>
                <w:b w:val="false"/>
                <w:bCs w:val="false"/>
                <w:sz w:val="19"/>
                <w:szCs w:val="19"/>
              </w:rPr>
              <w:t xml:space="preserve"/>
            </w:r>
          </w:p>
        </w:tc>
        <w:tc>
          <w:tcPr>
            <w:tcW w:type="dxa" w:w="4670"/>
            <w:tcMar>
              <w:top w:type="dxa" w:w="70"/>
              <w:left w:type="dxa" w:w="130"/>
              <w:bottom w:type="dxa" w:w="70"/>
              <w:right w:type="dxa" w:w="130"/>
            </w:tcMar>
          </w:tcPr>
          <w:p>
            <w:pPr>
              <w:spacing w:line="260"/>
            </w:pPr>
            <w:r>
              <w:rPr>
                <w:b w:val="false"/>
                <w:bCs w:val="false"/>
                <w:sz w:val="19"/>
                <w:szCs w:val="19"/>
              </w:rPr>
              <w:t xml:space="preserve"/>
            </w:r>
          </w:p>
        </w:tc>
      </w:tr>
      <w:tr>
        <w:tc>
          <w:tcPr>
            <w:tcW w:type="dxa" w:w="2600"/>
            <w:tcMar>
              <w:top w:type="dxa" w:w="70"/>
              <w:left w:type="dxa" w:w="130"/>
              <w:bottom w:type="dxa" w:w="70"/>
              <w:right w:type="dxa" w:w="130"/>
            </w:tcMar>
          </w:tcPr>
          <w:p>
            <w:pPr>
              <w:spacing w:line="260"/>
            </w:pPr>
            <w:r>
              <w:rPr>
                <w:b/>
                <w:bCs/>
                <w:color w:val="7A3B69"/>
                <w:sz w:val="19"/>
                <w:szCs w:val="19"/>
              </w:rPr>
              <w:t xml:space="preserve">Key principles evidenced</w:t>
            </w:r>
          </w:p>
        </w:tc>
        <w:tc>
          <w:tcPr>
            <w:tcW w:type="dxa" w:w="1800"/>
            <w:tcMar>
              <w:top w:type="dxa" w:w="70"/>
              <w:left w:type="dxa" w:w="130"/>
              <w:bottom w:type="dxa" w:w="70"/>
              <w:right w:type="dxa" w:w="130"/>
            </w:tcMar>
          </w:tcPr>
          <w:p>
            <w:pPr>
              <w:spacing w:line="260"/>
            </w:pPr>
            <w:r>
              <w:rPr>
                <w:b w:val="false"/>
                <w:bCs w:val="false"/>
                <w:sz w:val="19"/>
                <w:szCs w:val="19"/>
              </w:rPr>
              <w:t xml:space="preserve"/>
            </w:r>
          </w:p>
        </w:tc>
        <w:tc>
          <w:tcPr>
            <w:tcW w:type="dxa" w:w="4670"/>
            <w:tcMar>
              <w:top w:type="dxa" w:w="70"/>
              <w:left w:type="dxa" w:w="130"/>
              <w:bottom w:type="dxa" w:w="70"/>
              <w:right w:type="dxa" w:w="130"/>
            </w:tcMar>
          </w:tcPr>
          <w:p>
            <w:pPr>
              <w:spacing w:line="260"/>
            </w:pPr>
            <w:r>
              <w:rPr>
                <w:b w:val="false"/>
                <w:bCs w:val="false"/>
                <w:sz w:val="19"/>
                <w:szCs w:val="19"/>
              </w:rPr>
              <w:t xml:space="preserve"/>
            </w:r>
          </w:p>
        </w:tc>
      </w:tr>
      <w:tr>
        <w:tc>
          <w:tcPr>
            <w:tcW w:type="dxa" w:w="2600"/>
            <w:tcMar>
              <w:top w:type="dxa" w:w="70"/>
              <w:left w:type="dxa" w:w="130"/>
              <w:bottom w:type="dxa" w:w="70"/>
              <w:right w:type="dxa" w:w="130"/>
            </w:tcMar>
          </w:tcPr>
          <w:p>
            <w:pPr>
              <w:spacing w:line="260"/>
            </w:pPr>
            <w:r>
              <w:rPr>
                <w:b/>
                <w:bCs/>
                <w:color w:val="7A3B69"/>
                <w:sz w:val="19"/>
                <w:szCs w:val="19"/>
              </w:rPr>
              <w:t xml:space="preserve">Coherent and deliverable</w:t>
            </w:r>
          </w:p>
        </w:tc>
        <w:tc>
          <w:tcPr>
            <w:tcW w:type="dxa" w:w="1800"/>
            <w:tcMar>
              <w:top w:type="dxa" w:w="70"/>
              <w:left w:type="dxa" w:w="130"/>
              <w:bottom w:type="dxa" w:w="70"/>
              <w:right w:type="dxa" w:w="130"/>
            </w:tcMar>
          </w:tcPr>
          <w:p>
            <w:pPr>
              <w:spacing w:line="260"/>
            </w:pPr>
            <w:r>
              <w:rPr>
                <w:b w:val="false"/>
                <w:bCs w:val="false"/>
                <w:sz w:val="19"/>
                <w:szCs w:val="19"/>
              </w:rPr>
              <w:t xml:space="preserve"/>
            </w:r>
          </w:p>
        </w:tc>
        <w:tc>
          <w:tcPr>
            <w:tcW w:type="dxa" w:w="4670"/>
            <w:tcMar>
              <w:top w:type="dxa" w:w="70"/>
              <w:left w:type="dxa" w:w="130"/>
              <w:bottom w:type="dxa" w:w="70"/>
              <w:right w:type="dxa" w:w="130"/>
            </w:tcMar>
          </w:tcPr>
          <w:p>
            <w:pPr>
              <w:spacing w:line="260"/>
            </w:pPr>
            <w:r>
              <w:rPr>
                <w:b w:val="false"/>
                <w:bCs w:val="false"/>
                <w:sz w:val="19"/>
                <w:szCs w:val="19"/>
              </w:rPr>
              <w:t xml:space="preserve"/>
            </w:r>
          </w:p>
        </w:tc>
      </w:tr>
    </w:tbl>
    <w:p>
      <w:pPr>
        <w:pStyle w:val="Heading2"/>
        <w:keepNext/>
        <w:spacing w:after="100" w:before="280"/>
      </w:pPr>
      <w:r>
        <w:rPr>
          <w:b/>
          <w:bCs/>
          <w:color w:val="7A3B69"/>
          <w:sz w:val="28"/>
          <w:szCs w:val="28"/>
        </w:rPr>
        <w:t xml:space="preserve">Submission B</w:t>
      </w:r>
    </w:p>
    <w:p>
      <w:pPr>
        <w:spacing w:after="140" w:before="0" w:line="300"/>
      </w:pPr>
      <w:r>
        <w:rPr>
          <w:sz w:val="22"/>
          <w:szCs w:val="22"/>
        </w:rPr>
        <w:t xml:space="preserve">Ten hours planned for a course on running a small business. Handwritten and scanned, some blocks sketched rather than scripted, one section visibly rewritten.</w:t>
      </w:r>
    </w:p>
    <w:p>
      <w:pPr>
        <w:spacing w:after="140" w:before="0" w:line="300"/>
      </w:pPr>
      <w:r>
        <w:rPr>
          <w:sz w:val="22"/>
          <w:szCs w:val="22"/>
        </w:rPr>
        <w:t xml:space="preserve">Section 1, context and learners: "Fourteen learners, eleven women. Six already sell something - two sell cooked food from home, one repairs phones, three sell clothes at the Thursday market. The other eight have not sold anything but three have run a household budget for years, which is the same skill and they do not know it. Nobody can rely on a phone being charged. The market runs Thursday, so Thursday is the day nobody comes."</w:t>
      </w:r>
    </w:p>
    <w:p>
      <w:pPr>
        <w:spacing w:after="140" w:before="0" w:line="300"/>
      </w:pPr>
      <w:r>
        <w:rPr>
          <w:sz w:val="22"/>
          <w:szCs w:val="22"/>
        </w:rPr>
        <w:t xml:space="preserve">Section 4, hours 1-2: "Start with the six who already sell. Each says what they sell and one thing that has gone wrong. Write the problems on the wall - these are our curriculum for ten hours. I will not introduce anything in hour 1 that is not on that wall."</w:t>
      </w:r>
    </w:p>
    <w:p>
      <w:pPr>
        <w:spacing w:after="140" w:before="0" w:line="300"/>
      </w:pPr>
      <w:r>
        <w:rPr>
          <w:sz w:val="22"/>
          <w:szCs w:val="22"/>
        </w:rPr>
        <w:t xml:space="preserve">Section 4, hours 7-8: "The three who sell at the market bring their actual prices. We work out together whether they are making money. I do not know what we will find. If they are not, that is hour 9 and 10 and I will replan them."</w:t>
      </w:r>
    </w:p>
    <w:p>
      <w:pPr>
        <w:spacing w:after="140" w:before="0" w:line="300"/>
      </w:pPr>
      <w:r>
        <w:rPr>
          <w:sz w:val="22"/>
          <w:szCs w:val="22"/>
        </w:rPr>
        <w:t xml:space="preserve">Section 5, pre-delivery reflection: "I am worried about the eight who have not sold anything - I have built ten hours around the six who have, and I might have made a course for half my room. I do not have an answer yet. I also do not know what happens if the market prices show a loss and someone is embarrassed in front of the others."</w:t>
      </w:r>
    </w:p>
    <w:p>
      <w:pPr>
        <w:keepNext/>
        <w:spacing w:after="60" w:before="180"/>
      </w:pPr>
      <w:r>
        <w:rPr>
          <w:b/>
          <w:bCs/>
          <w:color w:val="6E7A2E"/>
          <w:spacing w:val="24"/>
          <w:sz w:val="17"/>
          <w:szCs w:val="17"/>
        </w:rPr>
        <w:t xml:space="preserve">YOUR TASK</w:t>
      </w:r>
    </w:p>
    <w:p>
      <w:pPr>
        <w:pStyle w:val="ListParagraph"/>
        <w:numPr>
          <w:ilvl w:val="0"/>
          <w:numId w:val="1"/>
        </w:numPr>
        <w:spacing w:after="80" w:line="300"/>
      </w:pPr>
      <w:r>
        <w:rPr>
          <w:sz w:val="22"/>
          <w:szCs w:val="22"/>
        </w:rPr>
        <w:t xml:space="preserve">Decide Met or Not yet on each of the three criteria.</w:t>
      </w:r>
    </w:p>
    <w:p>
      <w:pPr>
        <w:pStyle w:val="ListParagraph"/>
        <w:numPr>
          <w:ilvl w:val="0"/>
          <w:numId w:val="1"/>
        </w:numPr>
        <w:spacing w:after="80" w:line="300"/>
      </w:pPr>
      <w:r>
        <w:rPr>
          <w:sz w:val="22"/>
          <w:szCs w:val="22"/>
        </w:rPr>
        <w:t xml:space="preserve">Write the feedback you would send. Assume it is going to the educator, not to a file.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00"/>
        <w:gridCol w:w="1800"/>
        <w:gridCol w:w="4670"/>
      </w:tblGrid>
      <w:tr>
        <w:trPr>
          <w:tblHeader/>
        </w:trPr>
        <w:tc>
          <w:tcPr>
            <w:tcW w:type="dxa" w:w="2600"/>
            <w:tcMar>
              <w:top w:type="dxa" w:w="70"/>
              <w:left w:type="dxa" w:w="130"/>
              <w:bottom w:type="dxa" w:w="70"/>
              <w:right w:type="dxa" w:w="130"/>
            </w:tcMar>
          </w:tcPr>
          <w:p>
            <w:pPr>
              <w:spacing w:line="260"/>
            </w:pPr>
            <w:r>
              <w:rPr>
                <w:b/>
                <w:bCs/>
                <w:color w:val="1F3A5F"/>
                <w:sz w:val="19"/>
                <w:szCs w:val="19"/>
              </w:rPr>
              <w:t xml:space="preserve">Criterion</w:t>
            </w:r>
          </w:p>
        </w:tc>
        <w:tc>
          <w:tcPr>
            <w:tcW w:type="dxa" w:w="1800"/>
            <w:tcMar>
              <w:top w:type="dxa" w:w="70"/>
              <w:left w:type="dxa" w:w="130"/>
              <w:bottom w:type="dxa" w:w="70"/>
              <w:right w:type="dxa" w:w="130"/>
            </w:tcMar>
          </w:tcPr>
          <w:p>
            <w:pPr>
              <w:spacing w:line="260"/>
            </w:pPr>
            <w:r>
              <w:rPr>
                <w:b/>
                <w:bCs/>
                <w:color w:val="1F3A5F"/>
                <w:sz w:val="19"/>
                <w:szCs w:val="19"/>
              </w:rPr>
              <w:t xml:space="preserve">Met / Not yet</w:t>
            </w:r>
          </w:p>
        </w:tc>
        <w:tc>
          <w:tcPr>
            <w:tcW w:type="dxa" w:w="4670"/>
            <w:tcMar>
              <w:top w:type="dxa" w:w="70"/>
              <w:left w:type="dxa" w:w="130"/>
              <w:bottom w:type="dxa" w:w="70"/>
              <w:right w:type="dxa" w:w="130"/>
            </w:tcMar>
          </w:tcPr>
          <w:p>
            <w:pPr>
              <w:spacing w:line="260"/>
            </w:pPr>
            <w:r>
              <w:rPr>
                <w:b/>
                <w:bCs/>
                <w:color w:val="1F3A5F"/>
                <w:sz w:val="19"/>
                <w:szCs w:val="19"/>
              </w:rPr>
              <w:t xml:space="preserve">Your feedback</w:t>
            </w:r>
          </w:p>
        </w:tc>
      </w:tr>
      <w:tr>
        <w:tc>
          <w:tcPr>
            <w:tcW w:type="dxa" w:w="2600"/>
            <w:tcMar>
              <w:top w:type="dxa" w:w="70"/>
              <w:left w:type="dxa" w:w="130"/>
              <w:bottom w:type="dxa" w:w="70"/>
              <w:right w:type="dxa" w:w="130"/>
            </w:tcMar>
          </w:tcPr>
          <w:p>
            <w:pPr>
              <w:spacing w:line="260"/>
            </w:pPr>
            <w:r>
              <w:rPr>
                <w:b/>
                <w:bCs/>
                <w:color w:val="7A3B69"/>
                <w:sz w:val="19"/>
                <w:szCs w:val="19"/>
              </w:rPr>
              <w:t xml:space="preserve">Grounded in context</w:t>
            </w:r>
          </w:p>
        </w:tc>
        <w:tc>
          <w:tcPr>
            <w:tcW w:type="dxa" w:w="1800"/>
            <w:tcMar>
              <w:top w:type="dxa" w:w="70"/>
              <w:left w:type="dxa" w:w="130"/>
              <w:bottom w:type="dxa" w:w="70"/>
              <w:right w:type="dxa" w:w="130"/>
            </w:tcMar>
          </w:tcPr>
          <w:p>
            <w:pPr>
              <w:spacing w:line="260"/>
            </w:pPr>
            <w:r>
              <w:rPr>
                <w:b w:val="false"/>
                <w:bCs w:val="false"/>
                <w:sz w:val="19"/>
                <w:szCs w:val="19"/>
              </w:rPr>
              <w:t xml:space="preserve"/>
            </w:r>
          </w:p>
        </w:tc>
        <w:tc>
          <w:tcPr>
            <w:tcW w:type="dxa" w:w="4670"/>
            <w:tcMar>
              <w:top w:type="dxa" w:w="70"/>
              <w:left w:type="dxa" w:w="130"/>
              <w:bottom w:type="dxa" w:w="70"/>
              <w:right w:type="dxa" w:w="130"/>
            </w:tcMar>
          </w:tcPr>
          <w:p>
            <w:pPr>
              <w:spacing w:line="260"/>
            </w:pPr>
            <w:r>
              <w:rPr>
                <w:b w:val="false"/>
                <w:bCs w:val="false"/>
                <w:sz w:val="19"/>
                <w:szCs w:val="19"/>
              </w:rPr>
              <w:t xml:space="preserve"/>
            </w:r>
          </w:p>
        </w:tc>
      </w:tr>
      <w:tr>
        <w:tc>
          <w:tcPr>
            <w:tcW w:type="dxa" w:w="2600"/>
            <w:tcMar>
              <w:top w:type="dxa" w:w="70"/>
              <w:left w:type="dxa" w:w="130"/>
              <w:bottom w:type="dxa" w:w="70"/>
              <w:right w:type="dxa" w:w="130"/>
            </w:tcMar>
          </w:tcPr>
          <w:p>
            <w:pPr>
              <w:spacing w:line="260"/>
            </w:pPr>
            <w:r>
              <w:rPr>
                <w:b/>
                <w:bCs/>
                <w:color w:val="7A3B69"/>
                <w:sz w:val="19"/>
                <w:szCs w:val="19"/>
              </w:rPr>
              <w:t xml:space="preserve">Key principles evidenced</w:t>
            </w:r>
          </w:p>
        </w:tc>
        <w:tc>
          <w:tcPr>
            <w:tcW w:type="dxa" w:w="1800"/>
            <w:tcMar>
              <w:top w:type="dxa" w:w="70"/>
              <w:left w:type="dxa" w:w="130"/>
              <w:bottom w:type="dxa" w:w="70"/>
              <w:right w:type="dxa" w:w="130"/>
            </w:tcMar>
          </w:tcPr>
          <w:p>
            <w:pPr>
              <w:spacing w:line="260"/>
            </w:pPr>
            <w:r>
              <w:rPr>
                <w:b w:val="false"/>
                <w:bCs w:val="false"/>
                <w:sz w:val="19"/>
                <w:szCs w:val="19"/>
              </w:rPr>
              <w:t xml:space="preserve"/>
            </w:r>
          </w:p>
        </w:tc>
        <w:tc>
          <w:tcPr>
            <w:tcW w:type="dxa" w:w="4670"/>
            <w:tcMar>
              <w:top w:type="dxa" w:w="70"/>
              <w:left w:type="dxa" w:w="130"/>
              <w:bottom w:type="dxa" w:w="70"/>
              <w:right w:type="dxa" w:w="130"/>
            </w:tcMar>
          </w:tcPr>
          <w:p>
            <w:pPr>
              <w:spacing w:line="260"/>
            </w:pPr>
            <w:r>
              <w:rPr>
                <w:b w:val="false"/>
                <w:bCs w:val="false"/>
                <w:sz w:val="19"/>
                <w:szCs w:val="19"/>
              </w:rPr>
              <w:t xml:space="preserve"/>
            </w:r>
          </w:p>
        </w:tc>
      </w:tr>
      <w:tr>
        <w:tc>
          <w:tcPr>
            <w:tcW w:type="dxa" w:w="2600"/>
            <w:tcMar>
              <w:top w:type="dxa" w:w="70"/>
              <w:left w:type="dxa" w:w="130"/>
              <w:bottom w:type="dxa" w:w="70"/>
              <w:right w:type="dxa" w:w="130"/>
            </w:tcMar>
          </w:tcPr>
          <w:p>
            <w:pPr>
              <w:spacing w:line="260"/>
            </w:pPr>
            <w:r>
              <w:rPr>
                <w:b/>
                <w:bCs/>
                <w:color w:val="7A3B69"/>
                <w:sz w:val="19"/>
                <w:szCs w:val="19"/>
              </w:rPr>
              <w:t xml:space="preserve">Coherent and deliverable</w:t>
            </w:r>
          </w:p>
        </w:tc>
        <w:tc>
          <w:tcPr>
            <w:tcW w:type="dxa" w:w="1800"/>
            <w:tcMar>
              <w:top w:type="dxa" w:w="70"/>
              <w:left w:type="dxa" w:w="130"/>
              <w:bottom w:type="dxa" w:w="70"/>
              <w:right w:type="dxa" w:w="130"/>
            </w:tcMar>
          </w:tcPr>
          <w:p>
            <w:pPr>
              <w:spacing w:line="260"/>
            </w:pPr>
            <w:r>
              <w:rPr>
                <w:b w:val="false"/>
                <w:bCs w:val="false"/>
                <w:sz w:val="19"/>
                <w:szCs w:val="19"/>
              </w:rPr>
              <w:t xml:space="preserve"/>
            </w:r>
          </w:p>
        </w:tc>
        <w:tc>
          <w:tcPr>
            <w:tcW w:type="dxa" w:w="4670"/>
            <w:tcMar>
              <w:top w:type="dxa" w:w="70"/>
              <w:left w:type="dxa" w:w="130"/>
              <w:bottom w:type="dxa" w:w="70"/>
              <w:right w:type="dxa" w:w="130"/>
            </w:tcMar>
          </w:tcPr>
          <w:p>
            <w:pPr>
              <w:spacing w:line="260"/>
            </w:pPr>
            <w:r>
              <w:rPr>
                <w:b w:val="false"/>
                <w:bCs w:val="false"/>
                <w:sz w:val="19"/>
                <w:szCs w:val="19"/>
              </w:rPr>
              <w:t xml:space="preserve"/>
            </w:r>
          </w:p>
        </w:tc>
      </w:tr>
    </w:tbl>
    <w:p>
      <w:pPr>
        <w:pStyle w:val="Heading1"/>
        <w:keepNext/>
        <w:spacing w:after="140" w:before="320"/>
      </w:pPr>
      <w:r>
        <w:rPr>
          <w:b/>
          <w:bCs/>
          <w:color w:val="1F3A5F"/>
          <w:sz w:val="36"/>
          <w:szCs w:val="36"/>
        </w:rPr>
        <w:t xml:space="preserve">Part 2 - reference judgements</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THESE ARE A REFERENCE, NOT AN ORACLE</w:t>
            </w:r>
          </w:p>
          <w:p>
            <w:pPr>
              <w:spacing w:after="0" w:before="0" w:line="300"/>
            </w:pPr>
            <w:r>
              <w:rPr>
                <w:sz w:val="21"/>
                <w:szCs w:val="21"/>
              </w:rPr>
              <w:t xml:space="preserve">A participant who departs from these for reasons that are defensible has met the third criterion. Someone who agrees with every judgement for no stated reason has not shown you much.</w:t>
            </w:r>
          </w:p>
        </w:tc>
      </w:tr>
    </w:tbl>
    <w:p>
      <w:pPr>
        <w:pStyle w:val="Heading2"/>
        <w:keepNext/>
        <w:spacing w:after="100" w:before="280"/>
      </w:pPr>
      <w:r>
        <w:rPr>
          <w:b/>
          <w:bCs/>
          <w:color w:val="7A3B69"/>
          <w:sz w:val="28"/>
          <w:szCs w:val="28"/>
        </w:rPr>
        <w:t xml:space="preserve">Submission A</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87"/>
        <w:gridCol w:w="6382"/>
      </w:tblGrid>
      <w:tr>
        <w:trPr>
          <w:tblHeader/>
        </w:trPr>
        <w:tc>
          <w:tcPr>
            <w:tcW w:type="dxa" w:w="2687"/>
            <w:tcMar>
              <w:top w:type="dxa" w:w="70"/>
              <w:left w:type="dxa" w:w="130"/>
              <w:bottom w:type="dxa" w:w="70"/>
              <w:right w:type="dxa" w:w="130"/>
            </w:tcMar>
          </w:tcPr>
          <w:p>
            <w:pPr>
              <w:spacing w:line="260"/>
            </w:pPr>
            <w:r>
              <w:rPr>
                <w:b/>
                <w:bCs/>
                <w:color w:val="1F3A5F"/>
                <w:sz w:val="19"/>
                <w:szCs w:val="19"/>
              </w:rPr>
              <w:t xml:space="preserve">Criterion</w:t>
            </w:r>
          </w:p>
        </w:tc>
        <w:tc>
          <w:tcPr>
            <w:tcW w:type="dxa" w:w="6382"/>
            <w:tcMar>
              <w:top w:type="dxa" w:w="70"/>
              <w:left w:type="dxa" w:w="130"/>
              <w:bottom w:type="dxa" w:w="70"/>
              <w:right w:type="dxa" w:w="130"/>
            </w:tcMar>
          </w:tcPr>
          <w:p>
            <w:pPr>
              <w:spacing w:line="260"/>
            </w:pPr>
            <w:r>
              <w:rPr>
                <w:b/>
                <w:bCs/>
                <w:color w:val="1F3A5F"/>
                <w:sz w:val="19"/>
                <w:szCs w:val="19"/>
              </w:rPr>
              <w:t xml:space="preserve">Reference judgement</w:t>
            </w:r>
          </w:p>
        </w:tc>
      </w:tr>
      <w:tr>
        <w:tc>
          <w:tcPr>
            <w:tcW w:type="dxa" w:w="2687"/>
            <w:tcMar>
              <w:top w:type="dxa" w:w="70"/>
              <w:left w:type="dxa" w:w="130"/>
              <w:bottom w:type="dxa" w:w="70"/>
              <w:right w:type="dxa" w:w="130"/>
            </w:tcMar>
          </w:tcPr>
          <w:p>
            <w:pPr>
              <w:spacing w:line="260"/>
            </w:pPr>
            <w:r>
              <w:rPr>
                <w:b/>
                <w:bCs/>
                <w:color w:val="7A3B69"/>
                <w:sz w:val="19"/>
                <w:szCs w:val="19"/>
              </w:rPr>
              <w:t xml:space="preserve">Grounded in context - Not yet</w:t>
            </w:r>
          </w:p>
        </w:tc>
        <w:tc>
          <w:tcPr>
            <w:tcW w:type="dxa" w:w="6382"/>
            <w:tcMar>
              <w:top w:type="dxa" w:w="70"/>
              <w:left w:type="dxa" w:w="130"/>
              <w:bottom w:type="dxa" w:w="70"/>
              <w:right w:type="dxa" w:w="130"/>
            </w:tcMar>
          </w:tcPr>
          <w:p>
            <w:pPr>
              <w:spacing w:line="260"/>
            </w:pPr>
            <w:r>
              <w:rPr>
                <w:b w:val="false"/>
                <w:bCs w:val="false"/>
                <w:sz w:val="19"/>
                <w:szCs w:val="19"/>
              </w:rPr>
              <w:t xml:space="preserve">Section 1 could describe almost any cohort of displaced young adults anywhere. Nothing in the ten hours turns on who these particular learners are, what work exists where they live, or what they already know about it. The plan would survive being handed to a different educator in a different country unchanged - which is the test failing.</w:t>
            </w:r>
          </w:p>
        </w:tc>
      </w:tr>
      <w:tr>
        <w:tc>
          <w:tcPr>
            <w:tcW w:type="dxa" w:w="2687"/>
            <w:tcMar>
              <w:top w:type="dxa" w:w="70"/>
              <w:left w:type="dxa" w:w="130"/>
              <w:bottom w:type="dxa" w:w="70"/>
              <w:right w:type="dxa" w:w="130"/>
            </w:tcMar>
          </w:tcPr>
          <w:p>
            <w:pPr>
              <w:spacing w:line="260"/>
            </w:pPr>
            <w:r>
              <w:rPr>
                <w:b/>
                <w:bCs/>
                <w:color w:val="7A3B69"/>
                <w:sz w:val="19"/>
                <w:szCs w:val="19"/>
              </w:rPr>
              <w:t xml:space="preserve">Key principles evidenced - Not yet</w:t>
            </w:r>
          </w:p>
        </w:tc>
        <w:tc>
          <w:tcPr>
            <w:tcW w:type="dxa" w:w="6382"/>
            <w:tcMar>
              <w:top w:type="dxa" w:w="70"/>
              <w:left w:type="dxa" w:w="130"/>
              <w:bottom w:type="dxa" w:w="70"/>
              <w:right w:type="dxa" w:w="130"/>
            </w:tcMar>
          </w:tcPr>
          <w:p>
            <w:pPr>
              <w:spacing w:line="260"/>
            </w:pPr>
            <w:r>
              <w:rPr>
                <w:b w:val="false"/>
                <w:bCs w:val="false"/>
                <w:sz w:val="19"/>
                <w:szCs w:val="19"/>
              </w:rPr>
              <w:t xml:space="preserve">The principles are listed in Section 3 but do not reach Section 4. Facilitator input with slides, a discussion, and a template to complete is not learning built on what learners bring. Hours 7-8 are the clearest case: the CV is the facilitator's template, filled in.</w:t>
            </w:r>
          </w:p>
        </w:tc>
      </w:tr>
      <w:tr>
        <w:tc>
          <w:tcPr>
            <w:tcW w:type="dxa" w:w="2687"/>
            <w:tcMar>
              <w:top w:type="dxa" w:w="70"/>
              <w:left w:type="dxa" w:w="130"/>
              <w:bottom w:type="dxa" w:w="70"/>
              <w:right w:type="dxa" w:w="130"/>
            </w:tcMar>
          </w:tcPr>
          <w:p>
            <w:pPr>
              <w:spacing w:line="260"/>
            </w:pPr>
            <w:r>
              <w:rPr>
                <w:b/>
                <w:bCs/>
                <w:color w:val="7A3B69"/>
                <w:sz w:val="19"/>
                <w:szCs w:val="19"/>
              </w:rPr>
              <w:t xml:space="preserve">Coherent and deliverable - Met</w:t>
            </w:r>
          </w:p>
        </w:tc>
        <w:tc>
          <w:tcPr>
            <w:tcW w:type="dxa" w:w="6382"/>
            <w:tcMar>
              <w:top w:type="dxa" w:w="70"/>
              <w:left w:type="dxa" w:w="130"/>
              <w:bottom w:type="dxa" w:w="70"/>
              <w:right w:type="dxa" w:w="130"/>
            </w:tcMar>
          </w:tcPr>
          <w:p>
            <w:pPr>
              <w:spacing w:line="260"/>
            </w:pPr>
            <w:r>
              <w:rPr>
                <w:b w:val="false"/>
                <w:bCs w:val="false"/>
                <w:sz w:val="19"/>
                <w:szCs w:val="19"/>
              </w:rPr>
              <w:t xml:space="preserve">The arc is sound and the pacing is realistic. Blocks are the right length, the balance of facilitated and independent time is defensible, and it sets up what would follow. This is the one criterion the polish is actually evidence for.</w:t>
            </w:r>
          </w:p>
        </w:tc>
      </w:tr>
    </w:tbl>
    <w:tbl>
      <w:tblPr>
        <w:tblW w:type="pct" w:w="100%"/>
        <w:tblBorders>
          <w:top w:val="none"/>
          <w:left w:val="single" w:color="1F3A5F"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1F3A5F"/>
                <w:spacing w:val="24"/>
                <w:sz w:val="17"/>
                <w:szCs w:val="17"/>
              </w:rPr>
              <w:t xml:space="preserve">OVERALL</w:t>
            </w:r>
          </w:p>
          <w:p>
            <w:pPr>
              <w:spacing w:after="0" w:before="0" w:line="300"/>
            </w:pPr>
            <w:r>
              <w:rPr>
                <w:sz w:val="21"/>
                <w:szCs w:val="21"/>
              </w:rPr>
              <w:t xml:space="preserve">Not yet. Two criteria not met. The feedback should be specific about which learners, and about hours 7-8 as the concrete example - not about presentation, which is already good.</w:t>
            </w:r>
          </w:p>
        </w:tc>
      </w:tr>
    </w:tbl>
    <w:p>
      <w:pPr>
        <w:pStyle w:val="Heading2"/>
        <w:keepNext/>
        <w:spacing w:after="100" w:before="280"/>
      </w:pPr>
      <w:r>
        <w:rPr>
          <w:b/>
          <w:bCs/>
          <w:color w:val="7A3B69"/>
          <w:sz w:val="28"/>
          <w:szCs w:val="28"/>
        </w:rPr>
        <w:t xml:space="preserve">Submission B</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87"/>
        <w:gridCol w:w="6382"/>
      </w:tblGrid>
      <w:tr>
        <w:trPr>
          <w:tblHeader/>
        </w:trPr>
        <w:tc>
          <w:tcPr>
            <w:tcW w:type="dxa" w:w="2687"/>
            <w:tcMar>
              <w:top w:type="dxa" w:w="70"/>
              <w:left w:type="dxa" w:w="130"/>
              <w:bottom w:type="dxa" w:w="70"/>
              <w:right w:type="dxa" w:w="130"/>
            </w:tcMar>
          </w:tcPr>
          <w:p>
            <w:pPr>
              <w:spacing w:line="260"/>
            </w:pPr>
            <w:r>
              <w:rPr>
                <w:b/>
                <w:bCs/>
                <w:color w:val="1F3A5F"/>
                <w:sz w:val="19"/>
                <w:szCs w:val="19"/>
              </w:rPr>
              <w:t xml:space="preserve">Criterion</w:t>
            </w:r>
          </w:p>
        </w:tc>
        <w:tc>
          <w:tcPr>
            <w:tcW w:type="dxa" w:w="6382"/>
            <w:tcMar>
              <w:top w:type="dxa" w:w="70"/>
              <w:left w:type="dxa" w:w="130"/>
              <w:bottom w:type="dxa" w:w="70"/>
              <w:right w:type="dxa" w:w="130"/>
            </w:tcMar>
          </w:tcPr>
          <w:p>
            <w:pPr>
              <w:spacing w:line="260"/>
            </w:pPr>
            <w:r>
              <w:rPr>
                <w:b/>
                <w:bCs/>
                <w:color w:val="1F3A5F"/>
                <w:sz w:val="19"/>
                <w:szCs w:val="19"/>
              </w:rPr>
              <w:t xml:space="preserve">Reference judgement</w:t>
            </w:r>
          </w:p>
        </w:tc>
      </w:tr>
      <w:tr>
        <w:tc>
          <w:tcPr>
            <w:tcW w:type="dxa" w:w="2687"/>
            <w:tcMar>
              <w:top w:type="dxa" w:w="70"/>
              <w:left w:type="dxa" w:w="130"/>
              <w:bottom w:type="dxa" w:w="70"/>
              <w:right w:type="dxa" w:w="130"/>
            </w:tcMar>
          </w:tcPr>
          <w:p>
            <w:pPr>
              <w:spacing w:line="260"/>
            </w:pPr>
            <w:r>
              <w:rPr>
                <w:b/>
                <w:bCs/>
                <w:color w:val="7A3B69"/>
                <w:sz w:val="19"/>
                <w:szCs w:val="19"/>
              </w:rPr>
              <w:t xml:space="preserve">Grounded in context - Met</w:t>
            </w:r>
          </w:p>
        </w:tc>
        <w:tc>
          <w:tcPr>
            <w:tcW w:type="dxa" w:w="6382"/>
            <w:tcMar>
              <w:top w:type="dxa" w:w="70"/>
              <w:left w:type="dxa" w:w="130"/>
              <w:bottom w:type="dxa" w:w="70"/>
              <w:right w:type="dxa" w:w="130"/>
            </w:tcMar>
          </w:tcPr>
          <w:p>
            <w:pPr>
              <w:spacing w:line="260"/>
            </w:pPr>
            <w:r>
              <w:rPr>
                <w:b w:val="false"/>
                <w:bCs w:val="false"/>
                <w:sz w:val="19"/>
                <w:szCs w:val="19"/>
              </w:rPr>
              <w:t xml:space="preserve">Section 1 is specific to the point of being unusable anywhere else - who sells what, which day nobody comes, which unrecognised skill sits in the room. And the specificity reaches the plan: hours 1-2 and 7-8 both depend on facts from Section 1.</w:t>
            </w:r>
          </w:p>
        </w:tc>
      </w:tr>
      <w:tr>
        <w:tc>
          <w:tcPr>
            <w:tcW w:type="dxa" w:w="2687"/>
            <w:tcMar>
              <w:top w:type="dxa" w:w="70"/>
              <w:left w:type="dxa" w:w="130"/>
              <w:bottom w:type="dxa" w:w="70"/>
              <w:right w:type="dxa" w:w="130"/>
            </w:tcMar>
          </w:tcPr>
          <w:p>
            <w:pPr>
              <w:spacing w:line="260"/>
            </w:pPr>
            <w:r>
              <w:rPr>
                <w:b/>
                <w:bCs/>
                <w:color w:val="7A3B69"/>
                <w:sz w:val="19"/>
                <w:szCs w:val="19"/>
              </w:rPr>
              <w:t xml:space="preserve">Key principles evidenced - Met</w:t>
            </w:r>
          </w:p>
        </w:tc>
        <w:tc>
          <w:tcPr>
            <w:tcW w:type="dxa" w:w="6382"/>
            <w:tcMar>
              <w:top w:type="dxa" w:w="70"/>
              <w:left w:type="dxa" w:w="130"/>
              <w:bottom w:type="dxa" w:w="70"/>
              <w:right w:type="dxa" w:w="130"/>
            </w:tcMar>
          </w:tcPr>
          <w:p>
            <w:pPr>
              <w:spacing w:line="260"/>
            </w:pPr>
            <w:r>
              <w:rPr>
                <w:b w:val="false"/>
                <w:bCs w:val="false"/>
                <w:sz w:val="19"/>
                <w:szCs w:val="19"/>
              </w:rPr>
              <w:t xml:space="preserve">The principles are working rather than listed. Learners' existing knowledge is the curriculum, not the warm-up. Hours 7-8 hand the content over entirely, including the risk that it goes somewhere the educator did not plan.</w:t>
            </w:r>
          </w:p>
        </w:tc>
      </w:tr>
      <w:tr>
        <w:tc>
          <w:tcPr>
            <w:tcW w:type="dxa" w:w="2687"/>
            <w:tcMar>
              <w:top w:type="dxa" w:w="70"/>
              <w:left w:type="dxa" w:w="130"/>
              <w:bottom w:type="dxa" w:w="70"/>
              <w:right w:type="dxa" w:w="130"/>
            </w:tcMar>
          </w:tcPr>
          <w:p>
            <w:pPr>
              <w:spacing w:line="260"/>
            </w:pPr>
            <w:r>
              <w:rPr>
                <w:b/>
                <w:bCs/>
                <w:color w:val="7A3B69"/>
                <w:sz w:val="19"/>
                <w:szCs w:val="19"/>
              </w:rPr>
              <w:t xml:space="preserve">Coherent and deliverable - Met</w:t>
            </w:r>
          </w:p>
        </w:tc>
        <w:tc>
          <w:tcPr>
            <w:tcW w:type="dxa" w:w="6382"/>
            <w:tcMar>
              <w:top w:type="dxa" w:w="70"/>
              <w:left w:type="dxa" w:w="130"/>
              <w:bottom w:type="dxa" w:w="70"/>
              <w:right w:type="dxa" w:w="130"/>
            </w:tcMar>
          </w:tcPr>
          <w:p>
            <w:pPr>
              <w:spacing w:line="260"/>
            </w:pPr>
            <w:r>
              <w:rPr>
                <w:b w:val="false"/>
                <w:bCs w:val="false"/>
                <w:sz w:val="19"/>
                <w:szCs w:val="19"/>
              </w:rPr>
              <w:t xml:space="preserve">Coherent, and the openness in hours 9-10 is a planning decision rather than a gap - the educator says what would determine them. Pacing is realistic and the Thursday problem has been designed around rather than ignored.</w:t>
            </w:r>
          </w:p>
        </w:tc>
      </w:tr>
    </w:tbl>
    <w:tbl>
      <w:tblPr>
        <w:tblW w:type="pct" w:w="100%"/>
        <w:tblBorders>
          <w:top w:val="none"/>
          <w:left w:val="single" w:color="1F3A5F"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1F3A5F"/>
                <w:spacing w:val="24"/>
                <w:sz w:val="17"/>
                <w:szCs w:val="17"/>
              </w:rPr>
              <w:t xml:space="preserve">OVERALL</w:t>
            </w:r>
          </w:p>
          <w:p>
            <w:pPr>
              <w:spacing w:after="0" w:before="0" w:line="300"/>
            </w:pPr>
            <w:r>
              <w:rPr>
                <w:sz w:val="21"/>
                <w:szCs w:val="21"/>
              </w:rPr>
              <w:t xml:space="preserve">Met on all three - a pass. The reflection names two real risks without resolving them, which is what an honest pre-delivery reflection looks like. Do not mark it down for the handwriting or for hours 9-10 being provisional.</w:t>
            </w:r>
          </w:p>
        </w:tc>
      </w:tr>
    </w:tbl>
    <w:p>
      <w:pPr>
        <w:pStyle w:val="Heading1"/>
        <w:keepNext/>
        <w:spacing w:after="140" w:before="320"/>
      </w:pPr>
      <w:r>
        <w:rPr>
          <w:b/>
          <w:bCs/>
          <w:color w:val="1F3A5F"/>
          <w:sz w:val="36"/>
          <w:szCs w:val="36"/>
        </w:rPr>
        <w:t xml:space="preserve">Running the comparison in Session 2</w:t>
      </w:r>
    </w:p>
    <w:p>
      <w:pPr>
        <w:spacing w:after="140" w:before="0" w:line="300"/>
      </w:pPr>
      <w:r>
        <w:rPr>
          <w:sz w:val="22"/>
          <w:szCs w:val="22"/>
        </w:rPr>
        <w:t xml:space="preserve">Take one criterion at a time. Ask for decisions before reasons - hands up for Met, hands up for Not yet - so nobody talks themselves into the majority. Then open the reasons, and only then show the reference judgement.</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THE TEACHING POINT</w:t>
            </w:r>
          </w:p>
          <w:p>
            <w:pPr>
              <w:spacing w:after="90" w:before="0" w:line="300"/>
            </w:pPr>
            <w:r>
              <w:rPr>
                <w:sz w:val="21"/>
                <w:szCs w:val="21"/>
              </w:rPr>
              <w:t xml:space="preserve">Submission A is the more polished document and the weaker piece of work. Submission B is handwritten, partly provisional, and meets every criterion.</w:t>
            </w:r>
          </w:p>
          <w:p>
            <w:pPr>
              <w:spacing w:after="0" w:before="0" w:line="300"/>
            </w:pPr>
            <w:r>
              <w:rPr>
                <w:sz w:val="21"/>
                <w:szCs w:val="21"/>
              </w:rPr>
              <w:t xml:space="preserve">If the room marks A up and B down, that is the session. Presentation is not the standard, and a trainer who cannot separate the two will pass the wrong people for years.</w:t>
            </w:r>
          </w:p>
        </w:tc>
      </w:tr>
    </w:tbl>
    <w:p>
      <w:pPr>
        <w:pStyle w:val="Heading2"/>
        <w:keepNext/>
        <w:pageBreakBefore/>
        <w:spacing w:after="100" w:before="280"/>
      </w:pPr>
      <w:r>
        <w:rPr>
          <w:b/>
          <w:bCs/>
          <w:color w:val="7A3B69"/>
          <w:sz w:val="28"/>
          <w:szCs w:val="28"/>
        </w:rPr>
        <w:t xml:space="preserve">How to print this</w:t>
      </w:r>
    </w:p>
    <w:p>
      <w:pPr>
        <w:pStyle w:val="ListParagraph"/>
        <w:numPr>
          <w:ilvl w:val="0"/>
          <w:numId w:val="1"/>
        </w:numPr>
        <w:spacing w:after="80" w:line="300"/>
      </w:pPr>
      <w:r>
        <w:rPr>
          <w:sz w:val="22"/>
          <w:szCs w:val="22"/>
        </w:rPr>
        <w:t xml:space="preserve">A4 paper, portrait. Do not let the printer "shrink to fit" - the writing lines are sized for A4.</w:t>
      </w:r>
    </w:p>
    <w:p>
      <w:pPr>
        <w:pStyle w:val="ListParagraph"/>
        <w:numPr>
          <w:ilvl w:val="0"/>
          <w:numId w:val="1"/>
        </w:numPr>
        <w:spacing w:after="80" w:line="300"/>
      </w:pPr>
      <w:r>
        <w:rPr>
          <w:sz w:val="22"/>
          <w:szCs w:val="22"/>
        </w:rPr>
        <w:t xml:space="preserve">Black and white is fine - the book can still be read and used without printing in colour.</w:t>
      </w:r>
    </w:p>
    <w:p>
      <w:pPr>
        <w:pStyle w:val="ListParagraph"/>
        <w:numPr>
          <w:ilvl w:val="0"/>
          <w:numId w:val="1"/>
        </w:numPr>
        <w:spacing w:after="80" w:line="300"/>
      </w:pPr>
      <w:r>
        <w:rPr>
          <w:sz w:val="22"/>
          <w:szCs w:val="22"/>
        </w:rPr>
        <w:t xml:space="preserve">Print double-sided if you can. It halves the paper.</w:t>
      </w:r>
    </w:p>
    <w:p>
      <w:pPr>
        <w:pStyle w:val="ListParagraph"/>
        <w:numPr>
          <w:ilvl w:val="0"/>
          <w:numId w:val="1"/>
        </w:numPr>
        <w:spacing w:after="80" w:line="300"/>
      </w:pPr>
      <w:r>
        <w:rPr>
          <w:sz w:val="22"/>
          <w:szCs w:val="22"/>
        </w:rPr>
        <w:t xml:space="preserve">One copy per facilitator. It is a reference book - you will come back to it, so it is worth binding.</w:t>
      </w:r>
    </w:p>
    <w:p>
      <w:pPr>
        <w:pBdr>
          <w:bottom w:val="single" w:color="B9B3A6" w:sz="4"/>
        </w:pBdr>
        <w:spacing w:after="180" w:before="60"/>
      </w:pPr>
    </w:p>
    <w:sectPr>
      <w:footerReference w:type="default" r:id="rId7"/>
      <w:pgSz w:w="11906" w:h="16838" w:orient="portrait"/>
      <w:pgMar w:top="1134" w:right="1418" w:bottom="1021" w:left="1418" w:header="624"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B3A6" w:sz="4"/>
      </w:pBdr>
      <w:tabs>
        <w:tab w:val="right" w:pos="9070"/>
      </w:tabs>
      <w:spacing w:before="60"/>
    </w:pPr>
    <w:r>
      <w:rPr>
        <w:color w:val="5A6473"/>
        <w:sz w:val="15"/>
        <w:szCs w:val="15"/>
      </w:rPr>
      <w:t xml:space="preserve">Training Amala's educators - Amala</w:t>
    </w:r>
    <w:r>
      <w:t xml:space="preserve">	</w:t>
    </w:r>
    <w:r>
      <w:rPr>
        <w:color w:val="5A6473"/>
        <w:sz w:val="15"/>
        <w:szCs w:val="15"/>
      </w:rPr>
      <w:t xml:space="preserve">page </w:t>
    </w:r>
    <w:r>
      <w:rPr>
        <w:b/>
        <w:bCs/>
        <w:color w:val="5A64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199821ad423fe95637277d677a2e121abf524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2026-08-27T05:12:23.603Z</dcterms:created>
  <dcterms:modified xsi:type="dcterms:W3CDTF">2026-08-27T05:12:23.603Z</dcterms:modified>
</cp:coreProperties>
</file>

<file path=docProps/custom.xml><?xml version="1.0" encoding="utf-8"?>
<Properties xmlns="http://schemas.openxmlformats.org/officeDocument/2006/custom-properties" xmlns:vt="http://schemas.openxmlformats.org/officeDocument/2006/docPropsVTypes"/>
</file>