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57200"/>
                    </a:xfrm>
                    <a:prstGeom prst="rect">
                      <a:avLst/>
                    </a:prstGeom>
                  </pic:spPr>
                </pic:pic>
              </a:graphicData>
            </a:graphic>
          </wp:inline>
        </w:drawing>
      </w:r>
    </w:p>
    <w:p>
      <w:pPr>
        <w:spacing w:after="80"/>
      </w:pPr>
      <w:r>
        <w:rPr>
          <w:b/>
          <w:bCs/>
          <w:color w:val="6E7A2E"/>
          <w:spacing w:val="24"/>
          <w:sz w:val="17"/>
          <w:szCs w:val="17"/>
        </w:rPr>
        <w:t xml:space="preserve">FOR THE TRAINER</w:t>
      </w:r>
    </w:p>
    <w:p>
      <w:pPr>
        <w:pStyle w:val="Heading2"/>
        <w:keepNext/>
        <w:spacing w:after="180" w:before="160"/>
      </w:pPr>
      <w:r>
        <w:rPr>
          <w:b/>
          <w:bCs/>
          <w:color w:val="1F3A5F"/>
          <w:sz w:val="38"/>
          <w:szCs w:val="38"/>
        </w:rPr>
        <w:t xml:space="preserve">Training Amala's educators</w:t>
      </w:r>
    </w:p>
    <w:p>
      <w:pPr>
        <w:spacing w:after="220"/>
      </w:pPr>
      <w:r>
        <w:rPr>
          <w:b/>
          <w:bCs/>
          <w:color w:val="7A3B69"/>
          <w:sz w:val="28"/>
          <w:szCs w:val="28"/>
        </w:rPr>
        <w:t xml:space="preserve">Module sign-off guide</w:t>
      </w:r>
    </w:p>
    <w:p>
      <w:pPr>
        <w:spacing w:after="140" w:before="0" w:line="300"/>
      </w:pPr>
      <w:r>
        <w:rPr>
          <w:sz w:val="22"/>
          <w:szCs w:val="22"/>
        </w:rPr>
        <w:t xml:space="preserve">How to judge this module, and the record to file. This is the first module in the framework where the evidence is what you watched rather than what you were sent.</w:t>
      </w:r>
    </w:p>
    <w:p>
      <w:pPr>
        <w:pBdr>
          <w:bottom w:val="single" w:color="B9B3A6" w:sz="4"/>
        </w:pBdr>
        <w:spacing w:after="180" w:before="60"/>
      </w:pPr>
    </w:p>
    <w:p>
      <w:pPr>
        <w:pStyle w:val="Heading1"/>
        <w:keepNext/>
        <w:spacing w:after="140" w:before="320"/>
      </w:pPr>
      <w:r>
        <w:rPr>
          <w:b/>
          <w:bCs/>
          <w:color w:val="1F3A5F"/>
          <w:sz w:val="36"/>
          <w:szCs w:val="36"/>
        </w:rPr>
        <w:t xml:space="preserve">What you are judging</w:t>
      </w:r>
    </w:p>
    <w:p>
      <w:pPr>
        <w:spacing w:after="140" w:before="0" w:line="300"/>
      </w:pPr>
      <w:r>
        <w:rPr>
          <w:sz w:val="22"/>
          <w:szCs w:val="22"/>
        </w:rPr>
        <w:t xml:space="preserve">This is the first module in the framework where sign-off rests on what a trainer observes rather than on what an educator submits. Two of the three criteria are judged from the practicum session itself; the third is judged from the calibration exercise. A pass means you hold the module - and with it, the right to train every module you hold.</w:t>
      </w:r>
    </w:p>
    <w:p>
      <w:pPr>
        <w:keepNext/>
        <w:spacing w:after="60" w:before="180"/>
      </w:pPr>
      <w:r>
        <w:rPr>
          <w:b/>
          <w:bCs/>
          <w:color w:val="6E7A2E"/>
          <w:spacing w:val="24"/>
          <w:sz w:val="17"/>
          <w:szCs w:val="17"/>
        </w:rPr>
        <w:t xml:space="preserve">WHAT THE EDUCATOR SUBMITS</w:t>
      </w:r>
    </w:p>
    <w:p>
      <w:pPr>
        <w:pStyle w:val="ListParagraph"/>
        <w:numPr>
          <w:ilvl w:val="0"/>
          <w:numId w:val="1"/>
        </w:numPr>
        <w:spacing w:after="80" w:line="300"/>
      </w:pPr>
      <w:r>
        <w:rPr>
          <w:sz w:val="22"/>
          <w:szCs w:val="22"/>
        </w:rPr>
        <w:t xml:space="preserve">The Trainer Practicum Record - session plan, observation record, debrief notes and reflection.</w:t>
      </w:r>
    </w:p>
    <w:p>
      <w:pPr>
        <w:pStyle w:val="ListParagraph"/>
        <w:numPr>
          <w:ilvl w:val="0"/>
          <w:numId w:val="1"/>
        </w:numPr>
        <w:spacing w:after="80" w:line="300"/>
      </w:pPr>
      <w:r>
        <w:rPr>
          <w:sz w:val="22"/>
          <w:szCs w:val="22"/>
        </w:rPr>
        <w:t xml:space="preserve">The calibration exercise - your Met / Not yet decisions on two sample submissions, and the feedback you wrote.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Judged from</w:t>
            </w:r>
          </w:p>
        </w:tc>
      </w:tr>
      <w:tr>
        <w:tc>
          <w:tcPr>
            <w:tcW w:type="dxa" w:w="2687"/>
            <w:tcMar>
              <w:top w:type="dxa" w:w="70"/>
              <w:left w:type="dxa" w:w="130"/>
              <w:bottom w:type="dxa" w:w="70"/>
              <w:right w:type="dxa" w:w="130"/>
            </w:tcMar>
          </w:tcPr>
          <w:p>
            <w:pPr>
              <w:spacing w:line="260"/>
            </w:pPr>
            <w:r>
              <w:rPr>
                <w:b/>
                <w:bCs/>
                <w:color w:val="7A3B69"/>
                <w:sz w:val="19"/>
                <w:szCs w:val="19"/>
              </w:rPr>
              <w:t xml:space="preserve">Faithful to the module</w:t>
            </w:r>
          </w:p>
        </w:tc>
        <w:tc>
          <w:tcPr>
            <w:tcW w:type="dxa" w:w="6382"/>
            <w:tcMar>
              <w:top w:type="dxa" w:w="70"/>
              <w:left w:type="dxa" w:w="130"/>
              <w:bottom w:type="dxa" w:w="70"/>
              <w:right w:type="dxa" w:w="130"/>
            </w:tcMar>
          </w:tcPr>
          <w:p>
            <w:pPr>
              <w:spacing w:line="260"/>
            </w:pPr>
            <w:r>
              <w:rPr>
                <w:b w:val="false"/>
                <w:bCs w:val="false"/>
                <w:sz w:val="19"/>
                <w:szCs w:val="19"/>
              </w:rPr>
              <w:t xml:space="preserve">The observed session, and the session plan it was built on.</w:t>
            </w:r>
          </w:p>
        </w:tc>
      </w:tr>
      <w:tr>
        <w:tc>
          <w:tcPr>
            <w:tcW w:type="dxa" w:w="2687"/>
            <w:tcMar>
              <w:top w:type="dxa" w:w="70"/>
              <w:left w:type="dxa" w:w="130"/>
              <w:bottom w:type="dxa" w:w="70"/>
              <w:right w:type="dxa" w:w="130"/>
            </w:tcMar>
          </w:tcPr>
          <w:p>
            <w:pPr>
              <w:spacing w:line="260"/>
            </w:pPr>
            <w:r>
              <w:rPr>
                <w:b/>
                <w:bCs/>
                <w:color w:val="7A3B69"/>
                <w:sz w:val="19"/>
                <w:szCs w:val="19"/>
              </w:rPr>
              <w:t xml:space="preserve">Facilitates professionals</w:t>
            </w:r>
          </w:p>
        </w:tc>
        <w:tc>
          <w:tcPr>
            <w:tcW w:type="dxa" w:w="6382"/>
            <w:tcMar>
              <w:top w:type="dxa" w:w="70"/>
              <w:left w:type="dxa" w:w="130"/>
              <w:bottom w:type="dxa" w:w="70"/>
              <w:right w:type="dxa" w:w="130"/>
            </w:tcMar>
          </w:tcPr>
          <w:p>
            <w:pPr>
              <w:spacing w:line="260"/>
            </w:pPr>
            <w:r>
              <w:rPr>
                <w:b w:val="false"/>
                <w:bCs w:val="false"/>
                <w:sz w:val="19"/>
                <w:szCs w:val="19"/>
              </w:rPr>
              <w:t xml:space="preserve">The observed session.</w:t>
            </w:r>
          </w:p>
        </w:tc>
      </w:tr>
      <w:tr>
        <w:tc>
          <w:tcPr>
            <w:tcW w:type="dxa" w:w="2687"/>
            <w:tcMar>
              <w:top w:type="dxa" w:w="70"/>
              <w:left w:type="dxa" w:w="130"/>
              <w:bottom w:type="dxa" w:w="70"/>
              <w:right w:type="dxa" w:w="130"/>
            </w:tcMar>
          </w:tcPr>
          <w:p>
            <w:pPr>
              <w:spacing w:line="260"/>
            </w:pPr>
            <w:r>
              <w:rPr>
                <w:b/>
                <w:bCs/>
                <w:color w:val="7A3B69"/>
                <w:sz w:val="19"/>
                <w:szCs w:val="19"/>
              </w:rPr>
              <w:t xml:space="preserve">Holds the standard</w:t>
            </w:r>
          </w:p>
        </w:tc>
        <w:tc>
          <w:tcPr>
            <w:tcW w:type="dxa" w:w="6382"/>
            <w:tcMar>
              <w:top w:type="dxa" w:w="70"/>
              <w:left w:type="dxa" w:w="130"/>
              <w:bottom w:type="dxa" w:w="70"/>
              <w:right w:type="dxa" w:w="130"/>
            </w:tcMar>
          </w:tcPr>
          <w:p>
            <w:pPr>
              <w:spacing w:line="260"/>
            </w:pPr>
            <w:r>
              <w:rPr>
                <w:b w:val="false"/>
                <w:bCs w:val="false"/>
                <w:sz w:val="19"/>
                <w:szCs w:val="19"/>
              </w:rPr>
              <w:t xml:space="preserve">The calibration exercise.</w:t>
            </w:r>
          </w:p>
        </w:tc>
      </w:tr>
    </w:tbl>
    <w:p>
      <w:pPr>
        <w:pStyle w:val="Heading1"/>
        <w:keepNext/>
        <w:spacing w:after="140" w:before="320"/>
      </w:pPr>
      <w:r>
        <w:rPr>
          <w:b/>
          <w:bCs/>
          <w:color w:val="1F3A5F"/>
          <w:sz w:val="36"/>
          <w:szCs w:val="36"/>
        </w:rPr>
        <w:t xml:space="preserve">The criteria</w:t>
      </w:r>
    </w:p>
    <w:p>
      <w:pPr>
        <w:pStyle w:val="Heading2"/>
        <w:keepNext/>
        <w:spacing w:after="100" w:before="280"/>
      </w:pPr>
      <w:r>
        <w:rPr>
          <w:b/>
          <w:bCs/>
          <w:color w:val="7A3B69"/>
          <w:sz w:val="28"/>
          <w:szCs w:val="28"/>
        </w:rPr>
        <w:t xml:space="preserve">Faithful to the module</w:t>
      </w:r>
    </w:p>
    <w:p>
      <w:pPr>
        <w:spacing w:after="140" w:before="0" w:line="300"/>
      </w:pPr>
      <w:r>
        <w:rPr>
          <w:sz w:val="22"/>
          <w:szCs w:val="22"/>
        </w:rPr>
        <w:t xml:space="preserve">The session was delivered as the module designs it. Where it was adapted, the adaptations left the assessed parts intact.</w:t>
      </w:r>
    </w:p>
    <w:p>
      <w:pPr>
        <w:pStyle w:val="Heading2"/>
        <w:keepNext/>
        <w:spacing w:after="100" w:before="280"/>
      </w:pPr>
      <w:r>
        <w:rPr>
          <w:b/>
          <w:bCs/>
          <w:color w:val="7A3B69"/>
          <w:sz w:val="28"/>
          <w:szCs w:val="28"/>
        </w:rPr>
        <w:t xml:space="preserve">Facilitates professionals</w:t>
      </w:r>
    </w:p>
    <w:p>
      <w:pPr>
        <w:spacing w:after="140" w:before="0" w:line="300"/>
      </w:pPr>
      <w:r>
        <w:rPr>
          <w:sz w:val="22"/>
          <w:szCs w:val="22"/>
        </w:rPr>
        <w:t xml:space="preserve">Participation was drawn out and peer feedback was held well, time was held, and the trainer was honest when they did not know an answer rather than filling the gap.</w:t>
      </w:r>
    </w:p>
    <w:p>
      <w:pPr>
        <w:pStyle w:val="Heading2"/>
        <w:keepNext/>
        <w:spacing w:after="100" w:before="280"/>
      </w:pPr>
      <w:r>
        <w:rPr>
          <w:b/>
          <w:bCs/>
          <w:color w:val="7A3B69"/>
          <w:sz w:val="28"/>
          <w:szCs w:val="28"/>
        </w:rPr>
        <w:t xml:space="preserve">Holds the standard</w:t>
      </w:r>
    </w:p>
    <w:p>
      <w:pPr>
        <w:spacing w:after="140" w:before="0" w:line="300"/>
      </w:pPr>
      <w:r>
        <w:rPr>
          <w:sz w:val="22"/>
          <w:szCs w:val="22"/>
        </w:rPr>
        <w:t xml:space="preserve">The calibration judgements match the reference judgements, or depart from them for reasons that are defensible. The written feedback is specific to the criterion and usable by a resit.</w:t>
      </w:r>
    </w:p>
    <w:p>
      <w:pPr>
        <w:pStyle w:val="Heading2"/>
        <w:keepNext/>
        <w:spacing w:after="100" w:before="280"/>
      </w:pPr>
      <w:r>
        <w:rPr>
          <w:b/>
          <w:bCs/>
          <w:color w:val="7A3B69"/>
          <w:sz w:val="28"/>
          <w:szCs w:val="28"/>
        </w:rPr>
        <w:t xml:space="preserve">What does not count</w:t>
      </w:r>
    </w:p>
    <w:p>
      <w:pPr>
        <w:pStyle w:val="ListParagraph"/>
        <w:numPr>
          <w:ilvl w:val="0"/>
          <w:numId w:val="1"/>
        </w:numPr>
        <w:spacing w:after="80" w:line="300"/>
      </w:pPr>
      <w:r>
        <w:rPr>
          <w:sz w:val="22"/>
          <w:szCs w:val="22"/>
        </w:rPr>
        <w:t xml:space="preserve">How polished the session plan looks. See the calibration pack - this is the error the module exists to train out.</w:t>
      </w:r>
    </w:p>
    <w:p>
      <w:pPr>
        <w:pStyle w:val="ListParagraph"/>
        <w:numPr>
          <w:ilvl w:val="0"/>
          <w:numId w:val="1"/>
        </w:numPr>
        <w:spacing w:after="80" w:line="300"/>
      </w:pPr>
      <w:r>
        <w:rPr>
          <w:sz w:val="22"/>
          <w:szCs w:val="22"/>
        </w:rPr>
        <w:t xml:space="preserve">Whether you would have run the session that way yourself.</w:t>
      </w:r>
    </w:p>
    <w:p>
      <w:pPr>
        <w:pStyle w:val="ListParagraph"/>
        <w:numPr>
          <w:ilvl w:val="0"/>
          <w:numId w:val="1"/>
        </w:numPr>
        <w:spacing w:after="80" w:line="300"/>
      </w:pPr>
      <w:r>
        <w:rPr>
          <w:sz w:val="22"/>
          <w:szCs w:val="22"/>
        </w:rPr>
        <w:t xml:space="preserve">Whether the cohort was a live training group or a peer cohort. Both are full routes.</w:t>
      </w:r>
    </w:p>
    <w:p>
      <w:pPr>
        <w:pStyle w:val="ListParagraph"/>
        <w:numPr>
          <w:ilvl w:val="0"/>
          <w:numId w:val="1"/>
        </w:numPr>
        <w:spacing w:after="80" w:line="300"/>
      </w:pPr>
      <w:r>
        <w:rPr>
          <w:sz w:val="22"/>
          <w:szCs w:val="22"/>
        </w:rPr>
        <w:t xml:space="preserve">How well the participants performed. You are watching the trainer, not the room.</w:t>
      </w:r>
    </w:p>
    <w:p>
      <w:pPr>
        <w:pStyle w:val="Heading1"/>
        <w:keepNext/>
        <w:spacing w:after="140" w:before="320"/>
      </w:pPr>
      <w:r>
        <w:rPr>
          <w:b/>
          <w:bCs/>
          <w:color w:val="1F3A5F"/>
          <w:sz w:val="36"/>
          <w:szCs w:val="36"/>
        </w:rPr>
        <w:t xml:space="preserve">The threshold, and the resit</w:t>
      </w:r>
    </w:p>
    <w:p>
      <w:pPr>
        <w:spacing w:after="140" w:before="0" w:line="300"/>
      </w:pPr>
      <w:r>
        <w:rPr>
          <w:sz w:val="22"/>
          <w:szCs w:val="22"/>
        </w:rPr>
        <w:t xml:space="preserve">All three criteria Met is a pass, and the pass qualifies the educator to train every module they hold. If any criterion is Not yet, the supervisor gives specific written feedback and the educator has one resit - a second observed session, because facilitation cannot be evidenced on paper. The supervisor may accept a written resubmission instead where the only criterion Not yet is Holds the standard. If the resit is still Not yet, the educator re-enrols on a future cohort.</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DISCRETION, AND ITS LIMIT</w:t>
            </w:r>
          </w:p>
          <w:p>
            <w:pPr>
              <w:spacing w:after="90" w:before="0" w:line="300"/>
            </w:pPr>
            <w:r>
              <w:rPr>
                <w:sz w:val="21"/>
                <w:szCs w:val="21"/>
              </w:rPr>
              <w:t xml:space="preserve">A written resubmission may replace the second observed session only where the single criterion Not yet is the calibration one. A calibration judgement can be evidenced on paper; facilitation cannot.</w:t>
            </w:r>
          </w:p>
          <w:p>
            <w:pPr>
              <w:spacing w:after="0" w:before="0" w:line="300"/>
            </w:pPr>
            <w:r>
              <w:rPr>
                <w:sz w:val="21"/>
                <w:szCs w:val="21"/>
              </w:rPr>
              <w:t xml:space="preserve">This is discretion you hold, not a published route. Do not offer it as an option at the start.</w:t>
            </w:r>
          </w:p>
        </w:tc>
      </w:tr>
    </w:tbl>
    <w:p>
      <w:pPr>
        <w:pStyle w:val="Heading1"/>
        <w:keepNext/>
        <w:spacing w:after="140" w:before="320"/>
      </w:pPr>
      <w:r>
        <w:rPr>
          <w:b/>
          <w:bCs/>
          <w:color w:val="1F3A5F"/>
          <w:sz w:val="36"/>
          <w:szCs w:val="36"/>
        </w:rPr>
        <w:t xml:space="preserve">The record</w:t>
      </w:r>
    </w:p>
    <w:p>
      <w:pPr>
        <w:spacing w:after="140" w:before="0" w:line="300"/>
      </w:pPr>
      <w:r>
        <w:rPr>
          <w:sz w:val="22"/>
          <w:szCs w:val="22"/>
        </w:rPr>
        <w:t xml:space="preserve">File this with the educator's record. What it grants is wider than this module, so it needs to be findable years later.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Educator</w:t>
            </w: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Module and session delivered in the practicum</w:t>
            </w: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Cohort (live training group / peer cohort)</w:t>
            </w: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Date observed</w:t>
            </w: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Supervisor</w:t>
            </w: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5470"/>
        <w:gridCol w:w="1800"/>
        <w:gridCol w:w="1800"/>
      </w:tblGrid>
      <w:tr>
        <w:trPr>
          <w:tblHeader/>
        </w:trPr>
        <w:tc>
          <w:tcPr>
            <w:tcW w:type="dxa" w:w="5470"/>
            <w:tcMar>
              <w:top w:type="dxa" w:w="70"/>
              <w:left w:type="dxa" w:w="130"/>
              <w:bottom w:type="dxa" w:w="70"/>
              <w:right w:type="dxa" w:w="130"/>
            </w:tcMar>
          </w:tcPr>
          <w:p>
            <w:pPr>
              <w:spacing w:line="260"/>
            </w:pPr>
            <w:r>
              <w:rPr>
                <w:b/>
                <w:bCs/>
                <w:color w:val="1F3A5F"/>
                <w:sz w:val="19"/>
                <w:szCs w:val="19"/>
              </w:rPr>
              <w:t xml:space="preserve">Criterion</w:t>
            </w:r>
          </w:p>
        </w:tc>
        <w:tc>
          <w:tcPr>
            <w:tcW w:type="dxa" w:w="1800"/>
            <w:tcMar>
              <w:top w:type="dxa" w:w="70"/>
              <w:left w:type="dxa" w:w="130"/>
              <w:bottom w:type="dxa" w:w="70"/>
              <w:right w:type="dxa" w:w="130"/>
            </w:tcMar>
          </w:tcPr>
          <w:p>
            <w:pPr>
              <w:spacing w:line="260"/>
            </w:pPr>
            <w:r>
              <w:rPr>
                <w:b/>
                <w:bCs/>
                <w:color w:val="1F3A5F"/>
                <w:sz w:val="19"/>
                <w:szCs w:val="19"/>
              </w:rPr>
              <w:t xml:space="preserve">Met</w:t>
            </w:r>
          </w:p>
        </w:tc>
        <w:tc>
          <w:tcPr>
            <w:tcW w:type="dxa" w:w="1800"/>
            <w:tcMar>
              <w:top w:type="dxa" w:w="70"/>
              <w:left w:type="dxa" w:w="130"/>
              <w:bottom w:type="dxa" w:w="70"/>
              <w:right w:type="dxa" w:w="130"/>
            </w:tcMar>
          </w:tcPr>
          <w:p>
            <w:pPr>
              <w:spacing w:line="260"/>
            </w:pPr>
            <w:r>
              <w:rPr>
                <w:b/>
                <w:bCs/>
                <w:color w:val="1F3A5F"/>
                <w:sz w:val="19"/>
                <w:szCs w:val="19"/>
              </w:rPr>
              <w:t xml:space="preserve">Not yet</w:t>
            </w:r>
          </w:p>
        </w:tc>
      </w:tr>
      <w:tr>
        <w:tc>
          <w:tcPr>
            <w:tcW w:type="dxa" w:w="5470"/>
            <w:tcMar>
              <w:top w:type="dxa" w:w="70"/>
              <w:left w:type="dxa" w:w="130"/>
              <w:bottom w:type="dxa" w:w="70"/>
              <w:right w:type="dxa" w:w="130"/>
            </w:tcMar>
          </w:tcPr>
          <w:p>
            <w:pPr>
              <w:spacing w:line="260"/>
            </w:pPr>
            <w:r>
              <w:rPr>
                <w:b/>
                <w:bCs/>
                <w:color w:val="7A3B69"/>
                <w:sz w:val="19"/>
                <w:szCs w:val="19"/>
              </w:rPr>
              <w:t xml:space="preserve">Faithful to the module</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1800"/>
            <w:tcMar>
              <w:top w:type="dxa" w:w="70"/>
              <w:left w:type="dxa" w:w="130"/>
              <w:bottom w:type="dxa" w:w="70"/>
              <w:right w:type="dxa" w:w="130"/>
            </w:tcMar>
          </w:tcPr>
          <w:p>
            <w:pPr>
              <w:spacing w:line="260"/>
            </w:pPr>
            <w:r>
              <w:rPr>
                <w:b w:val="false"/>
                <w:bCs w:val="false"/>
                <w:sz w:val="19"/>
                <w:szCs w:val="19"/>
              </w:rPr>
              <w:t xml:space="preserve"/>
            </w:r>
          </w:p>
        </w:tc>
      </w:tr>
      <w:tr>
        <w:tc>
          <w:tcPr>
            <w:tcW w:type="dxa" w:w="5470"/>
            <w:tcMar>
              <w:top w:type="dxa" w:w="70"/>
              <w:left w:type="dxa" w:w="130"/>
              <w:bottom w:type="dxa" w:w="70"/>
              <w:right w:type="dxa" w:w="130"/>
            </w:tcMar>
          </w:tcPr>
          <w:p>
            <w:pPr>
              <w:spacing w:line="260"/>
            </w:pPr>
            <w:r>
              <w:rPr>
                <w:b/>
                <w:bCs/>
                <w:color w:val="7A3B69"/>
                <w:sz w:val="19"/>
                <w:szCs w:val="19"/>
              </w:rPr>
              <w:t xml:space="preserve">Facilitates professionals</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1800"/>
            <w:tcMar>
              <w:top w:type="dxa" w:w="70"/>
              <w:left w:type="dxa" w:w="130"/>
              <w:bottom w:type="dxa" w:w="70"/>
              <w:right w:type="dxa" w:w="130"/>
            </w:tcMar>
          </w:tcPr>
          <w:p>
            <w:pPr>
              <w:spacing w:line="260"/>
            </w:pPr>
            <w:r>
              <w:rPr>
                <w:b w:val="false"/>
                <w:bCs w:val="false"/>
                <w:sz w:val="19"/>
                <w:szCs w:val="19"/>
              </w:rPr>
              <w:t xml:space="preserve"/>
            </w:r>
          </w:p>
        </w:tc>
      </w:tr>
      <w:tr>
        <w:tc>
          <w:tcPr>
            <w:tcW w:type="dxa" w:w="5470"/>
            <w:tcMar>
              <w:top w:type="dxa" w:w="70"/>
              <w:left w:type="dxa" w:w="130"/>
              <w:bottom w:type="dxa" w:w="70"/>
              <w:right w:type="dxa" w:w="130"/>
            </w:tcMar>
          </w:tcPr>
          <w:p>
            <w:pPr>
              <w:spacing w:line="260"/>
            </w:pPr>
            <w:r>
              <w:rPr>
                <w:b/>
                <w:bCs/>
                <w:color w:val="7A3B69"/>
                <w:sz w:val="19"/>
                <w:szCs w:val="19"/>
              </w:rPr>
              <w:t xml:space="preserve">Holds the standard</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1800"/>
            <w:tcMar>
              <w:top w:type="dxa" w:w="70"/>
              <w:left w:type="dxa" w:w="130"/>
              <w:bottom w:type="dxa" w:w="70"/>
              <w:right w:type="dxa" w:w="130"/>
            </w:tcMar>
          </w:tcPr>
          <w:p>
            <w:pPr>
              <w:spacing w:line="260"/>
            </w:pPr>
            <w:r>
              <w:rPr>
                <w:b w:val="false"/>
                <w:bCs w:val="false"/>
                <w:sz w:val="19"/>
                <w:szCs w:val="19"/>
              </w:rPr>
              <w:t xml:space="preserve"/>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Feedback given</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3"/>
        <w:keepNext/>
        <w:spacing w:after="80" w:before="220"/>
      </w:pPr>
      <w:r>
        <w:rPr>
          <w:b/>
          <w:bCs/>
          <w:color w:val="1F3A5F"/>
          <w:sz w:val="24"/>
          <w:szCs w:val="24"/>
        </w:rPr>
        <w:t xml:space="preserve">What this pass grants</w:t>
      </w:r>
    </w:p>
    <w:p>
      <w:pPr>
        <w:spacing w:after="140" w:before="0" w:line="300"/>
      </w:pPr>
      <w:r>
        <w:rPr>
          <w:sz w:val="22"/>
          <w:szCs w:val="22"/>
        </w:rPr>
        <w:t xml:space="preserve">A pass qualifies you to train every module you hold - not only the one you delivered in your practicum.</w:t>
      </w:r>
    </w:p>
    <w:p>
      <w:pPr>
        <w:spacing w:after="140" w:before="0" w:line="300"/>
      </w:pPr>
      <w:r>
        <w:rPr>
          <w:sz w:val="22"/>
          <w:szCs w:val="22"/>
        </w:rPr>
        <w:t xml:space="preserve">Take another educator module later and your training scope extends with it automatically. The practicum is done once, ever. This is deliberate: the practicum proves you can train, and the modules you hold prove you know the content. They are assessed separately, and only the first needs observing.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Modules this educator holds, and is therefore now qualified to train (list them, and date the list)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Bdr>
          <w:bottom w:val="single" w:color="B9B3A6" w:sz="4"/>
        </w:pBdr>
        <w:spacing w:after="180" w:before="60"/>
      </w:pP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Training Amala's educators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2026-08-27T05:12:23.605Z</dcterms:created>
  <dcterms:modified xsi:type="dcterms:W3CDTF">2026-08-27T05:12:23.605Z</dcterms:modified>
</cp:coreProperties>
</file>

<file path=docProps/custom.xml><?xml version="1.0" encoding="utf-8"?>
<Properties xmlns="http://schemas.openxmlformats.org/officeDocument/2006/custom-properties" xmlns:vt="http://schemas.openxmlformats.org/officeDocument/2006/docPropsVTypes"/>
</file>