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pPr>
      <w:r>
        <w:rPr>
          <w:b/>
          <w:bCs/>
          <w:color w:val="7A3B69"/>
          <w:sz w:val="30"/>
          <w:szCs w:val="30"/>
        </w:rPr>
        <w:t xml:space="preserve">Facilitator Unit Plan &amp; Guide</w:t>
      </w:r>
    </w:p>
    <w:p>
      <w:pPr>
        <w:spacing w:after="200" w:before="0"/>
      </w:pPr>
      <w:r>
        <w:rPr>
          <w:color w:val="5A6473"/>
          <w:sz w:val="22"/>
          <w:szCs w:val="22"/>
        </w:rPr>
        <w:t xml:space="preserve">Learning Bridge+ (Cox's Bazar)  ·  The trees on our hills</w:t>
      </w:r>
    </w:p>
    <w:p>
      <w:pPr>
        <w:spacing w:after="120" w:before="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2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6"/>
        </w:pBdr>
        <w:spacing w:after="120"/>
      </w:pPr>
    </w:p>
    <w:p>
      <w:pPr>
        <w:pStyle w:val="Heading2"/>
        <w:spacing w:after="80" w:before="200"/>
      </w:pPr>
      <w:r>
        <w:rPr>
          <w:b/>
          <w:bCs/>
          <w:color w:val="7A3B69"/>
          <w:sz w:val="26"/>
          <w:szCs w:val="26"/>
        </w:rPr>
        <w:t xml:space="preserve">How this unit hands over control</w:t>
      </w:r>
    </w:p>
    <w:p>
      <w:pPr>
        <w:spacing w:after="120" w:before="0"/>
      </w:pPr>
      <w:r>
        <w:rPr>
          <w:sz w:val="22"/>
          <w:szCs w:val="22"/>
        </w:rPr>
        <w:t xml:space="preserve">This unit runs one real cycle of investigation on a single challenge the whole cohort shares, and hands over control as it goes: the aim is to move learners from doing research to being researchers. Early on you lead: you introduce the challenge and the given research question, model how a researcher takes a question apart, and show how to read a source. In the middle it is shared: learners design their own interview and survey questions, gather evidence, and sort it, while you guide. Later the learners lead: they decide what their evidence means and how to share it. Release control gradually and safely; some learners need more structure for longer, and that is fine. Three cautions specific to research in this context. First, primary research means learners talking to real people, so protection comes first: the challenge must be safe to research here, consent is always asked, no one is pressed to answer, and girls gather in same-gender pairs where that is what keeps them safe. Second, offline does not mean thin: secondary research is real research done on a supplied, curated pack of sources rather than by searching the internet. Third, language: this cohort works in English at around A1, growing towards B1 across the programme, so build every activity on pictures, drawing, and translation, introduce research words a few at a time on a shared word wall, and give learners simple sentence frames ("Before, …; now, …") to lean on — English is a scaffold the learners grow into, never the gate on whether they can show they can investigate.</w:t>
      </w:r>
    </w:p>
    <w:p>
      <w:pPr>
        <w:pStyle w:val="Heading2"/>
        <w:spacing w:after="80" w:before="200"/>
      </w:pPr>
      <w:r>
        <w:rPr>
          <w:b/>
          <w:bCs/>
          <w:color w:val="7A3B69"/>
          <w:sz w:val="26"/>
          <w:szCs w:val="26"/>
        </w:rPr>
        <w:t xml:space="preserve">Assessing the anchor competency</w:t>
      </w:r>
    </w:p>
    <w:p>
      <w:pPr>
        <w:spacing w:after="120" w:before="0"/>
      </w:pPr>
      <w:r>
        <w:rPr>
          <w:sz w:val="22"/>
          <w:szCs w:val="22"/>
        </w:rPr>
        <w:t xml:space="preserve">On Learning Bridge+, a learner's proficiency in the anchor competency, investigating real-world issues (FSI1), is judged by the educator against Amala's proficiency scale at two points: midway (formative) and at the end (summative). It is not marked from the final output alone. Gather evidence from across the whole investigation: the research question and plan they framed, the interview and survey questions they designed, how they weighed their sources (their evidence log), how they moved from raw findings to insight, and the final research output and how they answer questions about it. A learner who gathered evidence but could not turn it into an insight, and one who reached a defensible insight, are showing different proficiency, even with a similar-looking poster. Do not over-assess: two considered judgements, built from evidence gathered over time, are worth more than repeated testing. This is one of the two certificated competencies for the readiness decision.</w:t>
      </w:r>
    </w:p>
    <w:p>
      <w:pPr>
        <w:pStyle w:val="Heading2"/>
        <w:spacing w:after="80" w:before="200"/>
      </w:pPr>
      <w:r>
        <w:rPr>
          <w:b/>
          <w:bCs/>
          <w:color w:val="7A3B69"/>
          <w:sz w:val="26"/>
          <w:szCs w:val="26"/>
        </w:rPr>
        <w:t xml:space="preserve">How to use this plan</w:t>
      </w:r>
    </w:p>
    <w:p>
      <w:pPr>
        <w:spacing w:after="120" w:before="0"/>
      </w:pPr>
      <w:r>
        <w:rPr>
          <w:sz w:val="22"/>
          <w:szCs w:val="22"/>
        </w:rPr>
        <w:t xml:space="preserve">This plan is set out in hours, not weeks. Work through the phases in order; within a phase, the blocks build on each other. Each block carries its full guidance inline. The secondary source pack the learners read is reproduced in Appendix A, and the full original articles behind it (facilitator reference) in Appendix B. Deliver in the language you share with learners. Times are generous on purpose.</w:t>
      </w:r>
    </w:p>
    <w:p>
      <w:r>
        <w:br w:type="page"/>
      </w:r>
    </w:p>
    <w:p>
      <w:pPr>
        <w:pStyle w:val="Heading1"/>
        <w:spacing w:after="100" w:before="240"/>
      </w:pPr>
      <w:r>
        <w:rPr>
          <w:b/>
          <w:bCs/>
          <w:color w:val="1F3A5F"/>
          <w:sz w:val="30"/>
          <w:szCs w:val="30"/>
        </w:rPr>
        <w:t xml:space="preserve">Phase 1 - Getting started</w:t>
      </w:r>
    </w:p>
    <w:p>
      <w:pPr>
        <w:spacing w:after="40" w:before="0"/>
      </w:pPr>
      <w:r>
        <w:rPr>
          <w:i/>
          <w:iCs/>
          <w:color w:val="5A6473"/>
          <w:sz w:val="20"/>
          <w:szCs w:val="20"/>
        </w:rPr>
        <w:t xml:space="preserve">Lead: You lead</w:t>
      </w:r>
    </w:p>
    <w:p>
      <w:pPr>
        <w:spacing w:after="120" w:before="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spacing w:after="80" w:before="200"/>
      </w:pPr>
      <w:r>
        <w:rPr>
          <w:b/>
          <w:bCs/>
          <w:color w:val="7A3B69"/>
          <w:sz w:val="26"/>
          <w:szCs w:val="26"/>
        </w:rPr>
        <w:t xml:space="preserve">Welcome and our research space</w:t>
      </w:r>
    </w:p>
    <w:p>
      <w:pPr>
        <w:spacing w:after="100" w:before="0"/>
      </w:pPr>
      <w:r>
        <w:rPr>
          <w:b/>
          <w:bCs/>
          <w:color w:val="6E7A2E"/>
          <w:sz w:val="20"/>
          <w:szCs w:val="20"/>
        </w:rPr>
        <w:t xml:space="preserve">Orientation   ·   1h facilitated</w:t>
      </w:r>
    </w:p>
    <w:p>
      <w:pPr>
        <w:spacing w:after="120" w:before="0"/>
      </w:pPr>
      <w:r>
        <w:rPr>
          <w:sz w:val="22"/>
          <w:szCs w:val="22"/>
        </w:rPr>
        <w:t xml:space="preserve">Open the course.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Keep it warm, oral, and unhurried.</w:t>
      </w:r>
    </w:p>
    <w:p>
      <w:pPr>
        <w:pBdr>
          <w:bottom w:val="single" w:color="B9B3A6" w:sz="6"/>
        </w:pBdr>
        <w:spacing w:after="120"/>
      </w:pPr>
    </w:p>
    <w:p>
      <w:pPr>
        <w:pStyle w:val="Heading2"/>
        <w:spacing w:after="80" w:before="200"/>
      </w:pPr>
      <w:r>
        <w:rPr>
          <w:b/>
          <w:bCs/>
          <w:color w:val="7A3B69"/>
          <w:sz w:val="26"/>
          <w:szCs w:val="26"/>
        </w:rPr>
        <w:t xml:space="preserve">Meet our challenge</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12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20" w:before="0"/>
      </w:pPr>
      <w:r>
        <w:rPr>
          <w:i/>
          <w:i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6"/>
        </w:pBdr>
        <w:spacing w:after="120"/>
      </w:pPr>
    </w:p>
    <w:p>
      <w:pPr>
        <w:pStyle w:val="Heading2"/>
        <w:spacing w:after="80" w:before="200"/>
      </w:pPr>
      <w:r>
        <w:rPr>
          <w:b/>
          <w:bCs/>
          <w:color w:val="7A3B69"/>
          <w:sz w:val="26"/>
          <w:szCs w:val="26"/>
        </w:rPr>
        <w:t xml:space="preserve">Set up your research book</w:t>
      </w:r>
    </w:p>
    <w:p>
      <w:pPr>
        <w:spacing w:after="100" w:before="0"/>
      </w:pPr>
      <w:r>
        <w:rPr>
          <w:b/>
          <w:bCs/>
          <w:color w:val="6E7A2E"/>
          <w:sz w:val="20"/>
          <w:szCs w:val="20"/>
        </w:rPr>
        <w:t xml:space="preserve">Orientation   ·   1.5h facilitated   ·   0.5h independent</w:t>
      </w:r>
    </w:p>
    <w:p>
      <w:pPr>
        <w:spacing w:after="120" w:before="0"/>
      </w:pPr>
      <w:r>
        <w:rPr>
          <w:sz w:val="22"/>
          <w:szCs w:val="22"/>
        </w:rPr>
        <w:t xml:space="preserve">Set up the research book each learner keeps through the whole course: it holds their question, their evidence, and their thinking, mostly as drawings, marks, and a few words. Model making the first pages together. It runs through every phase and becomes the record the educator draws on for assessment, so set it up early and keep coming back to it.</w:t>
      </w:r>
    </w:p>
    <w:p>
      <w:pPr>
        <w:spacing w:after="120"/>
      </w:pPr>
      <w:r>
        <w:rPr>
          <w:b/>
          <w:bCs/>
          <w:color w:val="7A3B69"/>
          <w:sz w:val="22"/>
          <w:szCs w:val="22"/>
        </w:rPr>
        <w:t xml:space="preserve">Independent task: </w:t>
      </w:r>
      <w:r>
        <w:rPr>
          <w:sz w:val="22"/>
          <w:szCs w:val="22"/>
        </w:rPr>
        <w:t xml:space="preserve">Make one small mark or drawing about our challenge on the first page of your research book.</w:t>
      </w:r>
    </w:p>
    <w:p>
      <w:pPr>
        <w:spacing w:after="120" w:before="0"/>
      </w:pPr>
      <w:r>
        <w:rPr>
          <w:i/>
          <w:i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6"/>
        </w:pBdr>
        <w:spacing w:after="120"/>
      </w:pPr>
    </w:p>
    <w:p>
      <w:pPr>
        <w:pStyle w:val="Heading2"/>
        <w:spacing w:after="80" w:before="200"/>
      </w:pPr>
      <w:r>
        <w:rPr>
          <w:b/>
          <w:bCs/>
          <w:color w:val="7A3B69"/>
          <w:sz w:val="26"/>
          <w:szCs w:val="26"/>
        </w:rPr>
        <w:t xml:space="preserve">What good research looks like</w:t>
      </w:r>
    </w:p>
    <w:p>
      <w:pPr>
        <w:spacing w:after="100" w:before="0"/>
      </w:pPr>
      <w:r>
        <w:rPr>
          <w:b/>
          <w:bCs/>
          <w:color w:val="6E7A2E"/>
          <w:sz w:val="20"/>
          <w:szCs w:val="20"/>
        </w:rPr>
        <w:t xml:space="preserve">Activity   ·   0.5h facilitated</w:t>
      </w:r>
    </w:p>
    <w:p>
      <w:pPr>
        <w:spacing w:after="120" w:before="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pBdr>
          <w:bottom w:val="single" w:color="B9B3A6" w:sz="6"/>
        </w:pBdr>
        <w:spacing w:after="120"/>
      </w:pPr>
    </w:p>
    <w:p>
      <w:r>
        <w:br w:type="page"/>
      </w:r>
    </w:p>
    <w:p>
      <w:pPr>
        <w:pStyle w:val="Heading1"/>
        <w:spacing w:after="100" w:before="240"/>
      </w:pPr>
      <w:r>
        <w:rPr>
          <w:b/>
          <w:bCs/>
          <w:color w:val="1F3A5F"/>
          <w:sz w:val="30"/>
          <w:szCs w:val="30"/>
        </w:rPr>
        <w:t xml:space="preserve">Phase 2 - Frame the challenge</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Frame a real-world challenge into a clear, researchable focus.</w:t>
      </w:r>
    </w:p>
    <w:p>
      <w:pPr>
        <w:spacing w:after="120" w:before="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spacing w:after="80" w:before="200"/>
      </w:pPr>
      <w:r>
        <w:rPr>
          <w:b/>
          <w:bCs/>
          <w:color w:val="7A3B69"/>
          <w:sz w:val="26"/>
          <w:szCs w:val="26"/>
        </w:rPr>
        <w:t xml:space="preserve">Why this challenge matters, and what we already know</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2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6"/>
        </w:pBdr>
        <w:spacing w:after="120"/>
      </w:pPr>
    </w:p>
    <w:p>
      <w:pPr>
        <w:pStyle w:val="Heading2"/>
        <w:spacing w:after="80" w:before="200"/>
      </w:pPr>
      <w:r>
        <w:rPr>
          <w:b/>
          <w:bCs/>
          <w:color w:val="7A3B69"/>
          <w:sz w:val="26"/>
          <w:szCs w:val="26"/>
        </w:rPr>
        <w:t xml:space="preserve">Who and what is connected to our challenge</w:t>
      </w:r>
    </w:p>
    <w:p>
      <w:pPr>
        <w:spacing w:after="100" w:before="0"/>
      </w:pPr>
      <w:r>
        <w:rPr>
          <w:b/>
          <w:bCs/>
          <w:color w:val="6E7A2E"/>
          <w:sz w:val="20"/>
          <w:szCs w:val="20"/>
        </w:rPr>
        <w:t xml:space="preserve">Activity   ·   2h facilitated   ·   1h independent</w:t>
      </w:r>
    </w:p>
    <w:p>
      <w:pPr>
        <w:spacing w:after="120" w:before="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2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20" w:before="0"/>
      </w:pPr>
      <w:r>
        <w:rPr>
          <w:i/>
          <w:i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6"/>
        </w:pBdr>
        <w:spacing w:after="120"/>
      </w:pPr>
    </w:p>
    <w:p>
      <w:pPr>
        <w:pStyle w:val="Heading2"/>
        <w:spacing w:after="80" w:before="200"/>
      </w:pPr>
      <w:r>
        <w:rPr>
          <w:b/>
          <w:bCs/>
          <w:color w:val="7A3B69"/>
          <w:sz w:val="26"/>
          <w:szCs w:val="26"/>
        </w:rPr>
        <w:t xml:space="preserve">Make our research question our own</w:t>
      </w:r>
    </w:p>
    <w:p>
      <w:pPr>
        <w:spacing w:after="100" w:before="0"/>
      </w:pPr>
      <w:r>
        <w:rPr>
          <w:b/>
          <w:bCs/>
          <w:color w:val="6E7A2E"/>
          <w:sz w:val="20"/>
          <w:szCs w:val="20"/>
        </w:rPr>
        <w:t xml:space="preserve">Activity   ·   2h facilitated   ·   0.5h independent</w:t>
      </w:r>
    </w:p>
    <w:p>
      <w:pPr>
        <w:spacing w:after="120" w:before="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three sub-questions — what were our hills like before, and what are they like now; what happens to a bare hill when it rains and in the hot sun; and what do trees, grass, and roots do for the soil and for us. Talk through which parts they can answer by asking and looking here (primary) and which the supplied source pack will help with. Capture the question and its three sub-questions in words and pictures, big on the wall and in every research book.</w:t>
      </w:r>
    </w:p>
    <w:p>
      <w:pPr>
        <w:spacing w:after="12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20" w:before="0"/>
      </w:pPr>
      <w:r>
        <w:rPr>
          <w:i/>
          <w:i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6"/>
        </w:pBdr>
        <w:spacing w:after="120"/>
      </w:pPr>
    </w:p>
    <w:p>
      <w:r>
        <w:br w:type="page"/>
      </w:r>
    </w:p>
    <w:p>
      <w:pPr>
        <w:pStyle w:val="Heading1"/>
        <w:spacing w:after="100" w:before="240"/>
      </w:pPr>
      <w:r>
        <w:rPr>
          <w:b/>
          <w:bCs/>
          <w:color w:val="1F3A5F"/>
          <w:sz w:val="30"/>
          <w:szCs w:val="30"/>
        </w:rPr>
        <w:t xml:space="preserve">Phase 3 - Plan and conduct research</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Plan and conduct ethical primary and secondary research into the challenge.</w:t>
      </w:r>
    </w:p>
    <w:p>
      <w:pPr>
        <w:spacing w:after="120" w:before="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spacing w:after="80" w:before="200"/>
      </w:pPr>
      <w:r>
        <w:rPr>
          <w:b/>
          <w:bCs/>
          <w:color w:val="7A3B69"/>
          <w:sz w:val="26"/>
          <w:szCs w:val="26"/>
        </w:rPr>
        <w:t xml:space="preserve">Two ways to find out, and being a fair and safe researcher</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12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6"/>
        </w:pBdr>
        <w:spacing w:after="120"/>
      </w:pPr>
    </w:p>
    <w:p>
      <w:pPr>
        <w:pStyle w:val="Heading2"/>
        <w:spacing w:after="80" w:before="200"/>
      </w:pPr>
      <w:r>
        <w:rPr>
          <w:b/>
          <w:bCs/>
          <w:color w:val="7A3B69"/>
          <w:sz w:val="26"/>
          <w:szCs w:val="26"/>
        </w:rPr>
        <w:t xml:space="preserve">Design our interview and survey questions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design the simple instruments they will use to gather primary evidence about the research question: a short set of interview questions and, if useful, a very short survey that can be run orally and recorded with marks or pictures rather than writing. Model the difference between a question that opens people up and one that leads them to an answer. Learners draft, then try their questions on each other, notice what was confusing, and improve them. Keep instruments short, oral-friendly, and safe.</w:t>
      </w:r>
    </w:p>
    <w:p>
      <w:pPr>
        <w:spacing w:after="120"/>
      </w:pPr>
      <w:r>
        <w:rPr>
          <w:b/>
          <w:bCs/>
          <w:color w:val="7A3B69"/>
          <w:sz w:val="22"/>
          <w:szCs w:val="22"/>
        </w:rPr>
        <w:t xml:space="preserve">Independent task: </w:t>
      </w:r>
      <w:r>
        <w:rPr>
          <w:sz w:val="22"/>
          <w:szCs w:val="22"/>
        </w:rPr>
        <w:t xml:space="preserve">Try one of your interview questions on a family member, and notice whether it was clear.</w:t>
      </w:r>
    </w:p>
    <w:p>
      <w:pPr>
        <w:pBdr>
          <w:bottom w:val="single" w:color="B9B3A6" w:sz="6"/>
        </w:pBdr>
        <w:spacing w:after="120"/>
      </w:pPr>
    </w:p>
    <w:p>
      <w:pPr>
        <w:pStyle w:val="Heading2"/>
        <w:spacing w:after="80" w:before="200"/>
      </w:pPr>
      <w:r>
        <w:rPr>
          <w:b/>
          <w:bCs/>
          <w:color w:val="7A3B69"/>
          <w:sz w:val="26"/>
          <w:szCs w:val="26"/>
        </w:rPr>
        <w:t xml:space="preserve">Work the source pack</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40" w:before="80"/>
      </w:pPr>
      <w:r>
        <w:rPr>
          <w:b/>
          <w:bCs/>
          <w:i/>
          <w:iCs/>
          <w:color w:val="6E7A2E"/>
          <w:sz w:val="21"/>
          <w:szCs w:val="21"/>
        </w:rPr>
        <w:t xml:space="preserve">Activity in the material bank: Working with our sources</w:t>
      </w:r>
    </w:p>
    <w:p>
      <w:pPr>
        <w:spacing w:after="120"/>
      </w:pPr>
      <w:r>
        <w:rPr>
          <w:b/>
          <w:bCs/>
          <w:color w:val="7A3B69"/>
          <w:sz w:val="22"/>
          <w:szCs w:val="22"/>
        </w:rPr>
        <w:t xml:space="preserve">Timing: </w:t>
      </w:r>
      <w:r>
        <w:rPr>
          <w:sz w:val="22"/>
          <w:szCs w:val="22"/>
        </w:rPr>
        <w:t xml:space="preserve">2 hours facilitated + 1.5 hours independent</w:t>
      </w:r>
    </w:p>
    <w:p>
      <w:pPr>
        <w:spacing w:after="120"/>
      </w:pPr>
      <w:r>
        <w:rPr>
          <w:b/>
          <w:bCs/>
          <w:color w:val="7A3B69"/>
          <w:sz w:val="22"/>
          <w:szCs w:val="22"/>
        </w:rPr>
        <w:t xml:space="preserve">Grouping: </w:t>
      </w:r>
      <w:r>
        <w:rPr>
          <w:sz w:val="22"/>
          <w:szCs w:val="22"/>
        </w:rPr>
        <w:t xml:space="preserve">Whole group to model, then pairs; independent reading between sessions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Listen to and read a source at the level that suits them (the real article, the B1 version, or the A1/A2 version).</w:t>
      </w:r>
    </w:p>
    <w:p>
      <w:pPr>
        <w:pStyle w:val="ListParagraph"/>
        <w:numPr>
          <w:ilvl w:val="0"/>
          <w:numId w:val="1"/>
        </w:numPr>
        <w:spacing w:after="60"/>
      </w:pPr>
      <w:r>
        <w:rPr>
          <w:sz w:val="22"/>
          <w:szCs w:val="22"/>
        </w:rPr>
        <w:t xml:space="preserve">Work out what each source says about our question — and what it does not tell us.</w:t>
      </w:r>
    </w:p>
    <w:p>
      <w:pPr>
        <w:pStyle w:val="ListParagraph"/>
        <w:numPr>
          <w:ilvl w:val="0"/>
          <w:numId w:val="1"/>
        </w:numPr>
        <w:spacing w:after="60"/>
      </w:pPr>
      <w:r>
        <w:rPr>
          <w:sz w:val="22"/>
          <w:szCs w:val="22"/>
        </w:rPr>
        <w:t xml:space="preserve">Learn and use the new words from each source, adding them to our word wall.</w:t>
      </w:r>
    </w:p>
    <w:p>
      <w:pPr>
        <w:pStyle w:val="ListParagraph"/>
        <w:numPr>
          <w:ilvl w:val="0"/>
          <w:numId w:val="1"/>
        </w:numPr>
        <w:spacing w:after="60"/>
      </w:pPr>
      <w:r>
        <w:rPr>
          <w:sz w:val="22"/>
          <w:szCs w:val="22"/>
        </w:rPr>
        <w:t xml:space="preserve">Write or draw what they found in their evidence log, with a note of which source it came from.</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supplied secondary source pack (cb-rp-secondary-source-pack), printed from the student workbook or shown on screen.</w:t>
      </w:r>
    </w:p>
    <w:p>
      <w:pPr>
        <w:pStyle w:val="ListParagraph"/>
        <w:numPr>
          <w:ilvl w:val="0"/>
          <w:numId w:val="1"/>
        </w:numPr>
        <w:spacing w:after="60"/>
      </w:pPr>
      <w:r>
        <w:rPr>
          <w:sz w:val="22"/>
          <w:szCs w:val="22"/>
        </w:rPr>
        <w:t xml:space="preserve">The evidence log sheet from the student workbook (one per learner).</w:t>
      </w:r>
    </w:p>
    <w:p>
      <w:pPr>
        <w:pStyle w:val="ListParagraph"/>
        <w:numPr>
          <w:ilvl w:val="0"/>
          <w:numId w:val="1"/>
        </w:numPr>
        <w:spacing w:after="60"/>
      </w:pPr>
      <w:r>
        <w:rPr>
          <w:sz w:val="22"/>
          <w:szCs w:val="22"/>
        </w:rPr>
        <w:t xml:space="preserve">The word wall started earlier in the course.</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w:t>
      </w:r>
    </w:p>
    <w:p>
      <w:pPr>
        <w:pStyle w:val="Heading3"/>
        <w:spacing w:after="60" w:before="160"/>
      </w:pPr>
      <w:r>
        <w:rPr>
          <w:b/>
          <w:bCs/>
          <w:color w:val="1F3A5F"/>
          <w:sz w:val="23"/>
          <w:szCs w:val="23"/>
        </w:rPr>
        <w:t xml:space="preserve">Step 1: Model reading one source  (30 min)</w:t>
      </w:r>
    </w:p>
    <w:p>
      <w:pPr>
        <w:spacing w:after="120" w:before="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this source telling us about our hills?</w:t>
      </w:r>
    </w:p>
    <w:p>
      <w:pPr>
        <w:pStyle w:val="ListParagraph"/>
        <w:numPr>
          <w:ilvl w:val="0"/>
          <w:numId w:val="1"/>
        </w:numPr>
        <w:spacing w:after="60"/>
      </w:pPr>
      <w:r>
        <w:rPr>
          <w:sz w:val="22"/>
          <w:szCs w:val="22"/>
        </w:rPr>
        <w:t xml:space="preserve">Who made it, and how might that matter?</w:t>
      </w:r>
    </w:p>
    <w:p>
      <w:pPr>
        <w:pStyle w:val="ListParagraph"/>
        <w:numPr>
          <w:ilvl w:val="0"/>
          <w:numId w:val="1"/>
        </w:numPr>
        <w:spacing w:after="60"/>
      </w:pPr>
      <w:r>
        <w:rPr>
          <w:sz w:val="22"/>
          <w:szCs w:val="22"/>
        </w:rPr>
        <w:t xml:space="preserve">What does it NOT tell us?</w:t>
      </w:r>
    </w:p>
    <w:p>
      <w:pPr>
        <w:pStyle w:val="Heading3"/>
        <w:spacing w:after="60" w:before="160"/>
      </w:pPr>
      <w:r>
        <w:rPr>
          <w:b/>
          <w:bCs/>
          <w:color w:val="1F3A5F"/>
          <w:sz w:val="23"/>
          <w:szCs w:val="23"/>
        </w:rPr>
        <w:t xml:space="preserve">Step 2: Read in pairs, and pull out what helps our question  (60 min)</w:t>
      </w:r>
    </w:p>
    <w:p>
      <w:pPr>
        <w:spacing w:after="120" w:before="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your source add to our question?</w:t>
      </w:r>
    </w:p>
    <w:p>
      <w:pPr>
        <w:pStyle w:val="ListParagraph"/>
        <w:numPr>
          <w:ilvl w:val="0"/>
          <w:numId w:val="1"/>
        </w:numPr>
        <w:spacing w:after="60"/>
      </w:pPr>
      <w:r>
        <w:rPr>
          <w:sz w:val="22"/>
          <w:szCs w:val="22"/>
        </w:rPr>
        <w:t xml:space="preserve">Which new words did you meet?</w:t>
      </w:r>
    </w:p>
    <w:p>
      <w:pPr>
        <w:pStyle w:val="Heading3"/>
        <w:spacing w:after="60" w:before="160"/>
      </w:pPr>
      <w:r>
        <w:rPr>
          <w:b/>
          <w:bCs/>
          <w:color w:val="1F3A5F"/>
          <w:sz w:val="23"/>
          <w:szCs w:val="23"/>
        </w:rPr>
        <w:t xml:space="preserve">Step 3: Start the evidence log  (30 min)</w:t>
      </w:r>
    </w:p>
    <w:p>
      <w:pPr>
        <w:spacing w:after="120" w:before="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20"/>
      </w:pPr>
      <w:r>
        <w:rPr>
          <w:b/>
          <w:bCs/>
          <w:color w:val="7A3B69"/>
          <w:sz w:val="22"/>
          <w:szCs w:val="22"/>
        </w:rPr>
        <w:t xml:space="preserve">Student worksheet: </w:t>
      </w:r>
      <w:r>
        <w:rPr>
          <w:sz w:val="22"/>
          <w:szCs w:val="22"/>
        </w:rPr>
        <w:t xml:space="preserve">What our sources tell us — evidence log (in the student workbook)</w:t>
      </w:r>
    </w:p>
    <w:p>
      <w:pPr>
        <w:spacing w:after="12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20" w:before="0"/>
      </w:pPr>
      <w:r>
        <w:rPr>
          <w:i/>
          <w:iCs/>
          <w:color w:val="5A6473"/>
          <w:sz w:val="21"/>
          <w:szCs w:val="21"/>
        </w:rPr>
        <w:t xml:space="preserve">The pack is still to be authored. Its scope: enough sources about the issue itself (roots and soil, bare slopes, rain and landslides, heat and shade, a hillside recovering) — NOT about NGO projects — to let learners triangulate their primary findings against what is already known. The pack does double duty as English development, so it carries real, graded English prose, not just captions: short, clear sentences pitched a step above the learners' level (comprehensible input), key words glossed, and a deliberate climb from simpler A1/A2 sources to a B1 stretch at the end. Images support the text and carry meaning for learners not yet reading fluently, and facilitators read aloud — access is differentiated, the text is not dumbed down. Author it alongside the cb-rp-* materials.</w:t>
      </w:r>
    </w:p>
    <w:p>
      <w:pPr>
        <w:pBdr>
          <w:bottom w:val="single" w:color="B9B3A6" w:sz="6"/>
        </w:pBdr>
        <w:spacing w:after="120"/>
      </w:pPr>
    </w:p>
    <w:p>
      <w:pPr>
        <w:pStyle w:val="Heading2"/>
        <w:spacing w:after="80" w:before="200"/>
      </w:pPr>
      <w:r>
        <w:rPr>
          <w:b/>
          <w:bCs/>
          <w:color w:val="7A3B69"/>
          <w:sz w:val="26"/>
          <w:szCs w:val="26"/>
        </w:rPr>
        <w:t xml:space="preserve">Go and gather</w:t>
      </w:r>
    </w:p>
    <w:p>
      <w:pPr>
        <w:spacing w:after="100" w:before="0"/>
      </w:pPr>
      <w:r>
        <w:rPr>
          <w:b/>
          <w:bCs/>
          <w:color w:val="6E7A2E"/>
          <w:sz w:val="20"/>
          <w:szCs w:val="20"/>
        </w:rPr>
        <w:t xml:space="preserve">Practice   ·   1h facilitated   ·   3h independent</w:t>
      </w:r>
    </w:p>
    <w:p>
      <w:pPr>
        <w:spacing w:after="120" w:before="0"/>
      </w:pPr>
      <w:r>
        <w:rPr>
          <w:sz w:val="22"/>
          <w:szCs w:val="22"/>
        </w:rPr>
        <w:t xml:space="preserve">The heart of primary research, and where much of the independent time lives. Between sessions, in the pairs and with the consent routine already practised, learners gather primary evidence about the research question from the people and places on their community map, and record it in their research book with marks, drawings, and a few words. Open each session with a short, warm check-in in same-gender pairs or the group: who did you speak to, what did you find, what got in the way? Protect this block and keep the check-ins going. Hold the ethics line throughout: consent every time, no names, no pressure, and no learner sent anywhere unsafe to get evidence. When gathering is disrupted — by a fire, illness, a week kept indoors — adapting the plan and picking it up again is part of the skill, not a failure.</w:t>
      </w:r>
    </w:p>
    <w:p>
      <w:pPr>
        <w:spacing w:after="12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6"/>
        </w:pBdr>
        <w:spacing w:after="120"/>
      </w:pPr>
    </w:p>
    <w:p>
      <w:r>
        <w:br w:type="page"/>
      </w:r>
    </w:p>
    <w:p>
      <w:pPr>
        <w:pStyle w:val="Heading1"/>
        <w:spacing w:after="100" w:before="240"/>
      </w:pPr>
      <w:r>
        <w:rPr>
          <w:b/>
          <w:bCs/>
          <w:color w:val="1F3A5F"/>
          <w:sz w:val="30"/>
          <w:szCs w:val="30"/>
        </w:rPr>
        <w:t xml:space="preserve">Phase 4 - Evaluate evidence and develop insights</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Evaluate the evidence and develop actionable insights into the challenge.</w:t>
      </w:r>
    </w:p>
    <w:p>
      <w:pPr>
        <w:spacing w:after="120" w:before="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spacing w:after="80" w:before="200"/>
      </w:pPr>
      <w:r>
        <w:rPr>
          <w:b/>
          <w:bCs/>
          <w:color w:val="7A3B69"/>
          <w:sz w:val="26"/>
          <w:szCs w:val="26"/>
        </w:rPr>
        <w:t xml:space="preserve">Can we trust it? Weighing our sources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12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6"/>
        </w:pBdr>
        <w:spacing w:after="120"/>
      </w:pPr>
    </w:p>
    <w:p>
      <w:pPr>
        <w:pStyle w:val="Heading2"/>
        <w:spacing w:after="80" w:before="200"/>
      </w:pPr>
      <w:r>
        <w:rPr>
          <w:b/>
          <w:bCs/>
          <w:color w:val="7A3B69"/>
          <w:sz w:val="26"/>
          <w:szCs w:val="26"/>
        </w:rPr>
        <w:t xml:space="preserve">Sort and theme what we found</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2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6"/>
        </w:pBdr>
        <w:spacing w:after="120"/>
      </w:pPr>
    </w:p>
    <w:p>
      <w:pPr>
        <w:pStyle w:val="Heading2"/>
        <w:spacing w:after="80" w:before="200"/>
      </w:pPr>
      <w:r>
        <w:rPr>
          <w:b/>
          <w:bCs/>
          <w:color w:val="7A3B69"/>
          <w:sz w:val="26"/>
          <w:szCs w:val="26"/>
        </w:rPr>
        <w:t xml:space="preserve">From findings to insights</w:t>
      </w:r>
    </w:p>
    <w:p>
      <w:pPr>
        <w:spacing w:after="100" w:before="0"/>
      </w:pPr>
      <w:r>
        <w:rPr>
          <w:b/>
          <w:bCs/>
          <w:color w:val="6E7A2E"/>
          <w:sz w:val="20"/>
          <w:szCs w:val="20"/>
        </w:rPr>
        <w:t xml:space="preserve">Activity   ·   2h facilitated   ·   1h independent</w:t>
      </w:r>
    </w:p>
    <w:p>
      <w:pPr>
        <w:spacing w:after="120" w:before="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2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6"/>
        </w:pBdr>
        <w:spacing w:after="120"/>
      </w:pPr>
    </w:p>
    <w:p>
      <w:r>
        <w:br w:type="page"/>
      </w:r>
    </w:p>
    <w:p>
      <w:pPr>
        <w:pStyle w:val="Heading1"/>
        <w:spacing w:after="100" w:before="240"/>
      </w:pPr>
      <w:r>
        <w:rPr>
          <w:b/>
          <w:bCs/>
          <w:color w:val="1F3A5F"/>
          <w:sz w:val="30"/>
          <w:szCs w:val="30"/>
        </w:rPr>
        <w:t xml:space="preserve">Phase 5 - Communicate findings</w:t>
      </w:r>
    </w:p>
    <w:p>
      <w:pPr>
        <w:spacing w:after="40" w:before="0"/>
      </w:pPr>
      <w:r>
        <w:rPr>
          <w:i/>
          <w:iCs/>
          <w:color w:val="5A6473"/>
          <w:sz w:val="20"/>
          <w:szCs w:val="20"/>
        </w:rPr>
        <w:t xml:space="preserve">Lead: Learners lead</w:t>
      </w:r>
    </w:p>
    <w:p>
      <w:pPr>
        <w:spacing w:after="120"/>
      </w:pPr>
      <w:r>
        <w:rPr>
          <w:b/>
          <w:bCs/>
          <w:color w:val="7A3B69"/>
          <w:sz w:val="22"/>
          <w:szCs w:val="22"/>
        </w:rPr>
        <w:t xml:space="preserve">Course objective: </w:t>
      </w:r>
      <w:r>
        <w:rPr>
          <w:sz w:val="22"/>
          <w:szCs w:val="22"/>
        </w:rPr>
        <w:t xml:space="preserve">Communicate findings and actionable insights to an audience.</w:t>
      </w:r>
    </w:p>
    <w:p>
      <w:pPr>
        <w:spacing w:after="120" w:before="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spacing w:after="80" w:before="200"/>
      </w:pPr>
      <w:r>
        <w:rPr>
          <w:b/>
          <w:bCs/>
          <w:color w:val="7A3B69"/>
          <w:sz w:val="26"/>
          <w:szCs w:val="26"/>
        </w:rPr>
        <w:t xml:space="preserve">Choose our format and our audience</w:t>
      </w:r>
    </w:p>
    <w:p>
      <w:pPr>
        <w:spacing w:after="100" w:before="0"/>
      </w:pPr>
      <w:r>
        <w:rPr>
          <w:b/>
          <w:bCs/>
          <w:color w:val="6E7A2E"/>
          <w:sz w:val="20"/>
          <w:szCs w:val="20"/>
        </w:rPr>
        <w:t xml:space="preserve">Activity   ·   1.5h facilitated   ·   1h independent</w:t>
      </w:r>
    </w:p>
    <w:p>
      <w:pPr>
        <w:spacing w:after="120" w:before="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2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6"/>
        </w:pBdr>
        <w:spacing w:after="120"/>
      </w:pPr>
    </w:p>
    <w:p>
      <w:pPr>
        <w:pStyle w:val="Heading2"/>
        <w:spacing w:after="80" w:before="200"/>
      </w:pPr>
      <w:r>
        <w:rPr>
          <w:b/>
          <w:bCs/>
          <w:color w:val="7A3B69"/>
          <w:sz w:val="26"/>
          <w:szCs w:val="26"/>
        </w:rPr>
        <w:t xml:space="preserve">Build our research output</w:t>
      </w:r>
    </w:p>
    <w:p>
      <w:pPr>
        <w:spacing w:after="100" w:before="0"/>
      </w:pPr>
      <w:r>
        <w:rPr>
          <w:b/>
          <w:bCs/>
          <w:color w:val="6E7A2E"/>
          <w:sz w:val="20"/>
          <w:szCs w:val="20"/>
        </w:rPr>
        <w:t xml:space="preserve">Practice   ·   2h facilitated   ·   3h independent</w:t>
      </w:r>
    </w:p>
    <w:p>
      <w:pPr>
        <w:spacing w:after="120" w:before="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2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6"/>
        </w:pBdr>
        <w:spacing w:after="120"/>
      </w:pPr>
    </w:p>
    <w:p>
      <w:r>
        <w:br w:type="page"/>
      </w:r>
    </w:p>
    <w:p>
      <w:pPr>
        <w:pStyle w:val="Heading1"/>
        <w:spacing w:after="100" w:before="240"/>
      </w:pPr>
      <w:r>
        <w:rPr>
          <w:b/>
          <w:bCs/>
          <w:color w:val="1F3A5F"/>
          <w:sz w:val="30"/>
          <w:szCs w:val="30"/>
        </w:rPr>
        <w:t xml:space="preserve">Phase 6 - Showcase and reflect</w:t>
      </w:r>
    </w:p>
    <w:p>
      <w:pPr>
        <w:spacing w:after="40" w:before="0"/>
      </w:pPr>
      <w:r>
        <w:rPr>
          <w:i/>
          <w:iCs/>
          <w:color w:val="5A6473"/>
          <w:sz w:val="20"/>
          <w:szCs w:val="20"/>
        </w:rPr>
        <w:t xml:space="preserve">Lead: Learners lead</w:t>
      </w:r>
    </w:p>
    <w:p>
      <w:pPr>
        <w:spacing w:after="120" w:before="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spacing w:after="80" w:before="200"/>
      </w:pPr>
      <w:r>
        <w:rPr>
          <w:b/>
          <w:bCs/>
          <w:color w:val="7A3B69"/>
          <w:sz w:val="26"/>
          <w:szCs w:val="26"/>
        </w:rPr>
        <w:t xml:space="preserve">Share our findings, and look back</w:t>
      </w:r>
    </w:p>
    <w:p>
      <w:pPr>
        <w:spacing w:after="100" w:before="0"/>
      </w:pPr>
      <w:r>
        <w:rPr>
          <w:b/>
          <w:bCs/>
          <w:color w:val="6E7A2E"/>
          <w:sz w:val="20"/>
          <w:szCs w:val="20"/>
        </w:rPr>
        <w:t xml:space="preserve">Consolidation   ·   2.5h facilitated   ·   3h independent</w:t>
      </w:r>
    </w:p>
    <w:p>
      <w:pPr>
        <w:spacing w:after="120" w:before="0"/>
      </w:pPr>
      <w:r>
        <w:rPr>
          <w:sz w:val="22"/>
          <w:szCs w:val="22"/>
        </w:rPr>
        <w:t xml:space="preserve">Close the course.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12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6"/>
        </w:pBdr>
        <w:spacing w:after="120"/>
      </w:pPr>
    </w:p>
    <w:p>
      <w:r>
        <w:br w:type="page"/>
      </w:r>
    </w:p>
    <w:p>
      <w:pPr>
        <w:pStyle w:val="Heading1"/>
        <w:spacing w:after="100" w:before="240"/>
      </w:pPr>
      <w:r>
        <w:rPr>
          <w:b/>
          <w:bCs/>
          <w:color w:val="1F3A5F"/>
          <w:sz w:val="30"/>
          <w:szCs w:val="30"/>
        </w:rPr>
        <w:t xml:space="preserve">Appendix A - Secondary source pack (facilitator copy)</w:t>
      </w:r>
    </w:p>
    <w:p>
      <w:pPr>
        <w:pStyle w:val="Heading2"/>
        <w:spacing w:after="80" w:before="200"/>
      </w:pPr>
      <w:r>
        <w:rPr>
          <w:b/>
          <w:bCs/>
          <w:color w:val="7A3B69"/>
          <w:sz w:val="26"/>
          <w:szCs w:val="26"/>
        </w:rPr>
        <w:t xml:space="preserve">About this source pack</w:t>
      </w:r>
    </w:p>
    <w:p>
      <w:pPr>
        <w:spacing w:after="120" w:before="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20" w:before="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20" w:before="0"/>
      </w:pPr>
      <w:r>
        <w:rPr>
          <w:sz w:val="22"/>
          <w:szCs w:val="22"/>
        </w:rPr>
        <w:t xml:space="preserve">The pack deliberately mixes strong sources with a weak one, so evaluating sources (course objective 3) has something real to bite on. Every source card prints its trust signals as a CRAAP test — Who made it? When? Why? Do they show how they know? Does it help our question? Offline, learners cannot go and check a source, so the pack gives them what they need to judge it, and the "check it another way" move becomes triangulation: does this source agree with the other sources, and with our own primary research on the hills?</w:t>
      </w:r>
    </w:p>
    <w:p>
      <w:pPr>
        <w:spacing w:after="120" w:before="0"/>
      </w:pPr>
      <w:r>
        <w:rPr>
          <w:sz w:val="22"/>
          <w:szCs w:val="22"/>
        </w:rPr>
        <w:t xml:space="preserve">Every word explained on a card also collects in the programme word bank at the end.</w:t>
      </w:r>
    </w:p>
    <w:p>
      <w:pPr>
        <w:pStyle w:val="Heading2"/>
        <w:spacing w:after="80" w:before="200"/>
      </w:pPr>
      <w:r>
        <w:rPr>
          <w:b/>
          <w:bCs/>
          <w:color w:val="7A3B69"/>
          <w:sz w:val="26"/>
          <w:szCs w:val="26"/>
        </w:rPr>
        <w:t xml:space="preserve">Copyright, decided per source</w:t>
      </w:r>
    </w:p>
    <w:p>
      <w:pPr>
        <w:pStyle w:val="ListParagraph"/>
        <w:numPr>
          <w:ilvl w:val="0"/>
          <w:numId w:val="1"/>
        </w:numPr>
        <w:spacing w:after="60"/>
      </w:pPr>
      <w:r>
        <w:rPr>
          <w:sz w:val="22"/>
          <w:szCs w:val="22"/>
        </w:rPr>
        <w:t xml:space="preserve">Source A (The Conversation): CC BY-ND — reproduce the whole original with attribution; our B1/A2</w:t>
      </w:r>
    </w:p>
    <w:p>
      <w:pPr>
        <w:spacing w:after="120" w:before="0"/>
      </w:pPr>
      <w:r>
        <w:rPr>
          <w:sz w:val="22"/>
          <w:szCs w:val="22"/>
        </w:rPr>
        <w:t xml:space="preserve">texts are our own summaries of the facts, not edits of their wording.</w:t>
      </w:r>
    </w:p>
    <w:p>
      <w:pPr>
        <w:pStyle w:val="ListParagraph"/>
        <w:numPr>
          <w:ilvl w:val="0"/>
          <w:numId w:val="1"/>
        </w:numPr>
        <w:spacing w:after="60"/>
      </w:pPr>
      <w:r>
        <w:rPr>
          <w:sz w:val="22"/>
          <w:szCs w:val="22"/>
        </w:rPr>
        <w:t xml:space="preserve">Source B (FAO): reproduced under FAO's educational, non-commercial permission, with attribution.</w:t>
      </w:r>
    </w:p>
    <w:p>
      <w:pPr>
        <w:pStyle w:val="ListParagraph"/>
        <w:numPr>
          <w:ilvl w:val="0"/>
          <w:numId w:val="1"/>
        </w:numPr>
        <w:spacing w:after="60"/>
      </w:pPr>
      <w:r>
        <w:rPr>
          <w:sz w:val="22"/>
          <w:szCs w:val="22"/>
        </w:rPr>
        <w:t xml:space="preserve">Source C (UN in Bangladesh): reproduced for educational, non-commercial use, with attribution.</w:t>
      </w:r>
    </w:p>
    <w:p>
      <w:pPr>
        <w:pStyle w:val="ListParagraph"/>
        <w:numPr>
          <w:ilvl w:val="0"/>
          <w:numId w:val="1"/>
        </w:numPr>
        <w:spacing w:after="60"/>
      </w:pPr>
      <w:r>
        <w:rPr>
          <w:sz w:val="22"/>
          <w:szCs w:val="22"/>
        </w:rPr>
        <w:t xml:space="preserve">Source D (Grow Billion Trees): commercial, all rights reserved — not reproduced; cited and</w:t>
      </w:r>
    </w:p>
    <w:p>
      <w:pPr>
        <w:spacing w:after="120" w:before="0"/>
      </w:pPr>
      <w:r>
        <w:rPr>
          <w:sz w:val="22"/>
          <w:szCs w:val="22"/>
        </w:rPr>
        <w:t xml:space="preserve">summarised only. Fittingly, the least trustworthy source is also the one we cannot copy.</w:t>
      </w:r>
    </w:p>
    <w:p>
      <w:pPr>
        <w:pStyle w:val="ListParagraph"/>
        <w:numPr>
          <w:ilvl w:val="0"/>
          <w:numId w:val="1"/>
        </w:numPr>
        <w:spacing w:after="60"/>
      </w:pPr>
      <w:r>
        <w:rPr>
          <w:sz w:val="22"/>
          <w:szCs w:val="22"/>
        </w:rPr>
        <w:t xml:space="preserve">Source E (USGS): US Government public domain — free to reproduce with a courtesy credit.</w:t>
      </w:r>
    </w:p>
    <w:p>
      <w:pPr>
        <w:pStyle w:val="ListParagraph"/>
        <w:numPr>
          <w:ilvl w:val="0"/>
          <w:numId w:val="1"/>
        </w:numPr>
        <w:spacing w:after="60"/>
      </w:pPr>
      <w:r>
        <w:rPr>
          <w:sz w:val="22"/>
          <w:szCs w:val="22"/>
        </w:rPr>
        <w:t xml:space="preserve">Source F (Rohingya Khobor): community outlet, rights reserved — not reproduced; cited and</w:t>
      </w:r>
    </w:p>
    <w:p>
      <w:pPr>
        <w:spacing w:after="120" w:before="0"/>
      </w:pPr>
      <w:r>
        <w:rPr>
          <w:sz w:val="22"/>
          <w:szCs w:val="22"/>
        </w:rPr>
        <w:t xml:space="preserve">summarised only.</w:t>
      </w:r>
    </w:p>
    <w:p>
      <w:pPr>
        <w:pStyle w:val="Heading2"/>
        <w:spacing w:after="80" w:before="200"/>
      </w:pPr>
      <w:r>
        <w:rPr>
          <w:b/>
          <w:bCs/>
          <w:color w:val="7A3B69"/>
          <w:sz w:val="26"/>
          <w:szCs w:val="26"/>
        </w:rPr>
        <w:t xml:space="preserve">Teacher master reference list</w:t>
      </w:r>
    </w:p>
    <w:p>
      <w:pPr>
        <w:pStyle w:val="ListParagraph"/>
        <w:numPr>
          <w:ilvl w:val="0"/>
          <w:numId w:val="1"/>
        </w:numPr>
        <w:spacing w:after="60"/>
      </w:pPr>
      <w:r>
        <w:rPr>
          <w:sz w:val="22"/>
          <w:szCs w:val="22"/>
        </w:rPr>
        <w:t xml:space="preserve">A. Thompson, S., Correa, D., Duncan, J. and Crompton, O. "Deforestation can raise local temperatures</w:t>
      </w:r>
    </w:p>
    <w:p>
      <w:pPr>
        <w:spacing w:after="120" w:before="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60"/>
      </w:pPr>
      <w:r>
        <w:rPr>
          <w:sz w:val="22"/>
          <w:szCs w:val="22"/>
        </w:rPr>
        <w:t xml:space="preserve">B. FAO Regional Office for Asia and the Pacific. "Protecting 45,000 Rohingya Lives Ahead of</w:t>
      </w:r>
    </w:p>
    <w:p>
      <w:pPr>
        <w:spacing w:after="120" w:before="0"/>
      </w:pPr>
      <w:r>
        <w:rPr>
          <w:sz w:val="22"/>
          <w:szCs w:val="22"/>
        </w:rPr>
        <w:t xml:space="preserve">Life-Threatening Landslides." 28 April 2026. Strong, but reports FAO's own programme; specific verifiable figures.</w:t>
      </w:r>
    </w:p>
    <w:p>
      <w:pPr>
        <w:pStyle w:val="ListParagraph"/>
        <w:numPr>
          <w:ilvl w:val="0"/>
          <w:numId w:val="1"/>
        </w:numPr>
        <w:spacing w:after="60"/>
      </w:pPr>
      <w:r>
        <w:rPr>
          <w:sz w:val="22"/>
          <w:szCs w:val="22"/>
        </w:rPr>
        <w:t xml:space="preserve">C. FAO / United Nations in Bangladesh. "Nearly half a million trees planted in two months." 7 January</w:t>
      </w:r>
    </w:p>
    <w:p>
      <w:pPr>
        <w:spacing w:after="120" w:before="0"/>
      </w:pPr>
      <w:r>
        <w:rPr>
          <w:sz w:val="22"/>
          <w:szCs w:val="22"/>
        </w:rPr>
        <w:t xml:space="preserve">2020. High authority but dated; planted by local villagers, not refugees — pair with B to teach currency.</w:t>
      </w:r>
    </w:p>
    <w:p>
      <w:pPr>
        <w:pStyle w:val="ListParagraph"/>
        <w:numPr>
          <w:ilvl w:val="0"/>
          <w:numId w:val="1"/>
        </w:numPr>
        <w:spacing w:after="60"/>
      </w:pPr>
      <w:r>
        <w:rPr>
          <w:sz w:val="22"/>
          <w:szCs w:val="22"/>
        </w:rPr>
        <w:t xml:space="preserve">D. Grow Billion Trees. "How Can Trees Help Prevent Soil Erosion?" growbilliontrees.com. Weak: no</w:t>
      </w:r>
    </w:p>
    <w:p>
      <w:pPr>
        <w:spacing w:after="120" w:before="0"/>
      </w:pPr>
      <w:r>
        <w:rPr>
          <w:sz w:val="22"/>
          <w:szCs w:val="22"/>
        </w:rPr>
        <w:t xml:space="preserve">author, no cited evidence, odd date, sells tree-planting. Rank lowest.</w:t>
      </w:r>
    </w:p>
    <w:p>
      <w:pPr>
        <w:pStyle w:val="ListParagraph"/>
        <w:numPr>
          <w:ilvl w:val="0"/>
          <w:numId w:val="1"/>
        </w:numPr>
        <w:spacing w:after="60"/>
      </w:pPr>
      <w:r>
        <w:rPr>
          <w:sz w:val="22"/>
          <w:szCs w:val="22"/>
        </w:rPr>
        <w:t xml:space="preserve">E. U.S. Geological Survey (USGS), Water Science School. "Surface Runoff and the Water Cycle."</w:t>
      </w:r>
    </w:p>
    <w:p>
      <w:pPr>
        <w:spacing w:after="120" w:before="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60"/>
      </w:pPr>
      <w:r>
        <w:rPr>
          <w:sz w:val="22"/>
          <w:szCs w:val="22"/>
        </w:rPr>
        <w:t xml:space="preserve">F. Ro Maung Shwe / RK News Desk. "Rohingya Youth Form Environmental Network to Protect Camps from</w:t>
      </w:r>
    </w:p>
    <w:p>
      <w:pPr>
        <w:spacing w:after="120" w:before="0"/>
      </w:pPr>
      <w:r>
        <w:rPr>
          <w:sz w:val="22"/>
          <w:szCs w:val="22"/>
        </w:rPr>
        <w:t xml:space="preserve">Growing Ecological Crisis." Rohingya Khobor, 12 December 2025. Low authority: a community advocacy outlet, no citations or quotes — a valuable local voice, but not proof.</w:t>
      </w:r>
    </w:p>
    <w:p>
      <w:pPr>
        <w:pStyle w:val="Heading2"/>
        <w:spacing w:after="80" w:before="200"/>
      </w:pPr>
      <w:r>
        <w:rPr>
          <w:b/>
          <w:bCs/>
          <w:color w:val="7A3B69"/>
          <w:sz w:val="26"/>
          <w:szCs w:val="26"/>
        </w:rPr>
        <w:t xml:space="preserve">Still to add</w:t>
      </w:r>
    </w:p>
    <w:p>
      <w:pPr>
        <w:spacing w:after="120" w:before="0"/>
      </w:pPr>
      <w:r>
        <w:rPr>
          <w:sz w:val="22"/>
          <w:szCs w:val="22"/>
        </w:rPr>
        <w:t xml:space="preserve">The set now spans the credibility range: peer-reviewed science, UN agencies, US-government science, a commercial blog, and a local community outlet. A named-expert op-ed (e.g. a Daily Star opinion piece) could still be added for a higher-profile "strong opinion" example, if we can confirm its author.</w:t>
      </w:r>
    </w:p>
    <w:p>
      <w:r>
        <w:br w:type="page"/>
      </w:r>
    </w:p>
    <w:p>
      <w:pPr>
        <w:pStyle w:val="Heading2"/>
        <w:spacing w:after="80" w:before="200"/>
      </w:pPr>
      <w:r>
        <w:rPr>
          <w:b/>
          <w:bCs/>
          <w:color w:val="7A3B69"/>
          <w:sz w:val="26"/>
          <w:szCs w:val="26"/>
        </w:rPr>
        <w:t xml:space="preserve">The source cards, as learners read them</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Each source tells you who made it, when, and why — use this to decide how much to trust it.</w:t>
      </w:r>
    </w:p>
    <w:p>
      <w:pPr>
        <w:pStyle w:val="ListParagraph"/>
        <w:numPr>
          <w:ilvl w:val="0"/>
          <w:numId w:val="1"/>
        </w:numPr>
        <w:spacing w:after="60"/>
      </w:pPr>
      <w:r>
        <w:rPr>
          <w:sz w:val="22"/>
          <w:szCs w:val="22"/>
        </w:rPr>
        <w:t xml:space="preserve">Add what you find to your evidence log. Then check it another way: does it agree with the other</w:t>
      </w:r>
    </w:p>
    <w:p>
      <w:pPr>
        <w:spacing w:after="120" w:before="0"/>
      </w:pPr>
      <w:r>
        <w:rPr>
          <w:sz w:val="22"/>
          <w:szCs w:val="22"/>
        </w:rPr>
        <w:t xml:space="preserve">sources, and with what we saw and heard on our own hills?</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 3 (heat and shade).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[theconversation.com](https://theconversation.com/deforestation-can-raise-local-temperatures-by-up-to-4-5-and-heat-untouched-areas-6km-away-163584).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and 2 (before and now; a bare hill in the rain).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[fao.org](https://www.fao.org/asiapacific/news/news-detail/protecting-45-000-rohingya-lives-ahead-of-life-threatening-landslides/en).</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 1 (before and now).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[bangladesh.un.org](https://bangladesh.un.org/en/30306-nearly-half-million-trees-planted-two-months-fao-restores-degraded-watersheds-and-forests-cox).</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[growbilliontrees.com](https://growbilliontrees.com/blogs/knowledge/how-can-trees-help-prevent-soil-erosion).</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 2 (a bare hill in the rain).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[usgs.gov](https://www.usgs.gov/water-science-school/science/surface-runoff-and-water-cycle).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 1 (what is happening now),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[rohingyakhobor.com](https://rohingyakhobor.com/rohingya-youth-form-environmental-network-to-protect-camps-from-growing-ecological-crisis/).</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pStyle w:val="Heading1"/>
        <w:spacing w:after="100" w:before="240"/>
      </w:pPr>
      <w:r>
        <w:rPr>
          <w:b/>
          <w:bCs/>
          <w:color w:val="1F3A5F"/>
          <w:sz w:val="30"/>
          <w:szCs w:val="30"/>
        </w:rPr>
        <w:t xml:space="preserve">Appendix B - Full original articles (facilitator reference)</w:t>
      </w:r>
    </w:p>
    <w:p>
      <w:pPr>
        <w:spacing w:after="120" w:before="0"/>
      </w:pPr>
      <w:r>
        <w:rPr>
          <w:color w:val="5A6473"/>
          <w:sz w:val="22"/>
          <w:szCs w:val="22"/>
        </w:rPr>
        <w:t xml:space="preserve">The complete originals behind the graded source cards. For your reference and the strongest readers; the student workbook carries the graded versions only.</w:t>
      </w:r>
    </w:p>
    <w:p>
      <w:pPr>
        <w:pStyle w:val="Heading2"/>
        <w:spacing w:after="80" w:before="200"/>
      </w:pPr>
      <w:r>
        <w:rPr>
          <w:b/>
          <w:bCs/>
          <w:color w:val="7A3B69"/>
          <w:sz w:val="26"/>
          <w:szCs w:val="26"/>
        </w:rPr>
        <w:t xml:space="preserve">Source A</w:t>
      </w:r>
    </w:p>
    <w:p>
      <w:pPr>
        <w:spacing w:after="120" w:before="0"/>
      </w:pPr>
      <w:r>
        <w:rPr>
          <w:i/>
          <w:iCs/>
          <w:color w:val="5A6473"/>
          <w:sz w:val="20"/>
          <w:szCs w:val="20"/>
        </w:rPr>
        <w:t xml:space="preserve">Thompson, Correa, Duncan and Crompton, "Deforestation can raise local temperatures by up to 4.5C," The Conversation, 15 November 2021.</w:t>
      </w:r>
    </w:p>
    <w:p>
      <w:pPr>
        <w:spacing w:after="12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6"/>
        </w:pBdr>
        <w:spacing w:after="120"/>
      </w:pPr>
    </w:p>
    <w:p>
      <w:pPr>
        <w:pStyle w:val="Heading2"/>
        <w:spacing w:after="80" w:before="200"/>
      </w:pPr>
      <w:r>
        <w:rPr>
          <w:b/>
          <w:bCs/>
          <w:color w:val="7A3B69"/>
          <w:sz w:val="26"/>
          <w:szCs w:val="26"/>
        </w:rPr>
        <w:t xml:space="preserve">Source B</w:t>
      </w:r>
    </w:p>
    <w:p>
      <w:pPr>
        <w:spacing w:after="120" w:before="0"/>
      </w:pPr>
      <w:r>
        <w:rPr>
          <w:i/>
          <w:i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20" w:before="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20" w:before="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20" w:before="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20" w:before="0"/>
      </w:pPr>
      <w:r>
        <w:rPr>
          <w:sz w:val="22"/>
          <w:szCs w:val="22"/>
        </w:rPr>
        <w:t xml:space="preserve">Shi highlighted that "nature-based solutions deliver between USD 7 and USD 30 in returns for every USD 1 invested" while simultaneously reducing disaster risks and generating income.</w:t>
      </w:r>
    </w:p>
    <w:p>
      <w:pPr>
        <w:spacing w:after="120" w:before="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20" w:before="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20" w:before="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6"/>
        </w:pBdr>
        <w:spacing w:after="120"/>
      </w:pPr>
    </w:p>
    <w:p>
      <w:pPr>
        <w:pStyle w:val="Heading2"/>
        <w:spacing w:after="80" w:before="200"/>
      </w:pPr>
      <w:r>
        <w:rPr>
          <w:b/>
          <w:bCs/>
          <w:color w:val="7A3B69"/>
          <w:sz w:val="26"/>
          <w:szCs w:val="26"/>
        </w:rPr>
        <w:t xml:space="preserve">Source C</w:t>
      </w:r>
    </w:p>
    <w:p>
      <w:pPr>
        <w:spacing w:after="120" w:before="0"/>
      </w:pPr>
      <w:r>
        <w:rPr>
          <w:i/>
          <w:i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20" w:before="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20" w:before="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20" w:before="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20" w:before="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20" w:before="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6"/>
        </w:pBdr>
        <w:spacing w:after="120"/>
      </w:pPr>
    </w:p>
    <w:p>
      <w:pPr>
        <w:pStyle w:val="Heading2"/>
        <w:spacing w:after="80" w:before="200"/>
      </w:pPr>
      <w:r>
        <w:rPr>
          <w:b/>
          <w:bCs/>
          <w:color w:val="7A3B69"/>
          <w:sz w:val="26"/>
          <w:szCs w:val="26"/>
        </w:rPr>
        <w:t xml:space="preserve">Source D</w:t>
      </w:r>
    </w:p>
    <w:p>
      <w:pPr>
        <w:spacing w:after="120" w:before="0"/>
      </w:pPr>
      <w:r>
        <w:rPr>
          <w:i/>
          <w:iCs/>
          <w:color w:val="5A6473"/>
          <w:sz w:val="20"/>
          <w:szCs w:val="20"/>
        </w:rPr>
        <w:t xml:space="preserve">Grow Billion Trees, "How Can Trees Help Prevent Soil Erosion?" growbilliontrees.com.</w:t>
      </w:r>
    </w:p>
    <w:p>
      <w:pPr>
        <w:spacing w:after="12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6"/>
        </w:pBdr>
        <w:spacing w:after="120"/>
      </w:pPr>
    </w:p>
    <w:p>
      <w:pPr>
        <w:pStyle w:val="Heading2"/>
        <w:spacing w:after="80" w:before="200"/>
      </w:pPr>
      <w:r>
        <w:rPr>
          <w:b/>
          <w:bCs/>
          <w:color w:val="7A3B69"/>
          <w:sz w:val="26"/>
          <w:szCs w:val="26"/>
        </w:rPr>
        <w:t xml:space="preserve">Source E</w:t>
      </w:r>
    </w:p>
    <w:p>
      <w:pPr>
        <w:spacing w:after="120" w:before="0"/>
      </w:pPr>
      <w:r>
        <w:rPr>
          <w:i/>
          <w:iCs/>
          <w:color w:val="5A6473"/>
          <w:sz w:val="20"/>
          <w:szCs w:val="20"/>
        </w:rPr>
        <w:t xml:space="preserve">U.S. Geological Survey (USGS), Water Science School, "Surface Runoff and the Water Cycle." usgs.gov. US Government public domain - free to reproduce with a courtesy credit.</w:t>
      </w:r>
    </w:p>
    <w:p>
      <w:pPr>
        <w:spacing w:after="120" w:before="0"/>
      </w:pPr>
      <w:r>
        <w:rPr>
          <w:sz w:val="22"/>
          <w:szCs w:val="22"/>
        </w:rPr>
        <w:t xml:space="preserve">When rain falls on the land, some of it soaks into the ground (infiltration) and some flows over the surface (runoff). How much runs off depends heavily on the ground cover.</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6"/>
        </w:pBdr>
        <w:spacing w:after="120"/>
      </w:pPr>
    </w:p>
    <w:p>
      <w:pPr>
        <w:pStyle w:val="Heading2"/>
        <w:spacing w:after="80" w:before="200"/>
      </w:pPr>
      <w:r>
        <w:rPr>
          <w:b/>
          <w:bCs/>
          <w:color w:val="7A3B69"/>
          <w:sz w:val="26"/>
          <w:szCs w:val="26"/>
        </w:rPr>
        <w:t xml:space="preserve">Source F</w:t>
      </w:r>
    </w:p>
    <w:p>
      <w:pPr>
        <w:spacing w:after="120" w:before="0"/>
      </w:pPr>
      <w:r>
        <w:rPr>
          <w:i/>
          <w:iCs/>
          <w:color w:val="5A6473"/>
          <w:sz w:val="20"/>
          <w:szCs w:val="20"/>
        </w:rPr>
        <w:t xml:space="preserve">Ro Maung Shwe / RK News Desk, "Rohingya Youth Form Environmental Network to Protect Camps from Growing Ecological Crisis," Rohingya Khobor, 12 December 2025. rohingyakhobor.com.</w:t>
      </w:r>
    </w:p>
    <w:p>
      <w:pPr>
        <w:spacing w:after="12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6"/>
        </w:pBdr>
        <w:spacing w:after="120"/>
      </w:pPr>
    </w:p>
    <w:p>
      <w:r>
        <w:br w:type="page"/>
      </w:r>
    </w:p>
    <w:p>
      <w:pPr>
        <w:pStyle w:val="Heading2"/>
        <w:spacing w:after="80" w:before="200"/>
      </w:pPr>
      <w:r>
        <w:rPr>
          <w:b/>
          <w:bCs/>
          <w:color w:val="7A3B69"/>
          <w:sz w:val="26"/>
          <w:szCs w:val="26"/>
        </w:rPr>
        <w:t xml:space="preserve">The offline pack</w:t>
      </w:r>
    </w:p>
    <w:p>
      <w:pPr>
        <w:spacing w:after="120" w:before="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20" w:before="12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2026-08-04T02:09:28.992Z</dcterms:created>
  <dcterms:modified xsi:type="dcterms:W3CDTF">2026-08-04T02:09:28.993Z</dcterms:modified>
</cp:coreProperties>
</file>

<file path=docProps/custom.xml><?xml version="1.0" encoding="utf-8"?>
<Properties xmlns="http://schemas.openxmlformats.org/officeDocument/2006/custom-properties" xmlns:vt="http://schemas.openxmlformats.org/officeDocument/2006/docPropsVTypes"/>
</file>