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</w:pPr>
      <w:r>
        <w:rPr>
          <w:b/>
          <w:bCs/>
          <w:color w:val="1F3A5F"/>
          <w:sz w:val="44"/>
          <w:szCs w:val="44"/>
        </w:rPr>
        <w:t xml:space="preserve">Mentor’s record</w:t>
      </w:r>
    </w:p>
    <w:p>
      <w:pPr>
        <w:spacing w:after="40" w:before="0" w:line="300"/>
      </w:pPr>
      <w:r>
        <w:rPr>
          <w:b/>
          <w:bCs/>
          <w:color w:val="7A3B69"/>
          <w:sz w:val="24"/>
          <w:szCs w:val="24"/>
        </w:rPr>
        <w:t xml:space="preserve">One page per learner · the whole twelve weeks</w:t>
      </w:r>
    </w:p>
    <w:p>
      <w:pPr>
        <w:spacing w:after="160" w:before="0" w:line="300"/>
      </w:pPr>
      <w:r>
        <w:rPr>
          <w:color w:val="5A6473"/>
          <w:sz w:val="20"/>
          <w:szCs w:val="20"/>
        </w:rPr>
        <w:t xml:space="preserve">Learning Bridge+ (Cox's Bazar)  ·  make one copy per learner on your caseload</w:t>
      </w:r>
    </w:p>
    <w:tbl>
      <w:tblPr>
        <w:tblW w:type="pct" w:w="100%"/>
        <w:tblBorders>
          <w:top w:val="none"/>
          <w:left w:val="single" w:color="7A3B69" w:sz="18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90"/>
            </w:pPr>
            <w:r>
              <w:rPr>
                <w:b/>
                <w:bCs/>
                <w:color w:val="7A3B69"/>
                <w:spacing w:val="24"/>
                <w:sz w:val="17"/>
                <w:szCs w:val="17"/>
              </w:rPr>
              <w:t xml:space="preserve">THE TEST FOR ANYTHING YOU WRITE HERE</w:t>
            </w:r>
          </w:p>
          <w:p>
            <w:pPr>
              <w:spacing w:after="90" w:before="0" w:line="300"/>
            </w:pPr>
            <w:r>
              <w:rPr>
                <w:sz w:val="21"/>
                <w:szCs w:val="21"/>
              </w:rPr>
              <w:t xml:space="preserve">Would you be willing to read this line aloud to the learner? If not, it does not go on this page.</w:t>
            </w:r>
          </w:p>
          <w:p>
            <w:pPr>
              <w:spacing w:after="90" w:before="0" w:line="300"/>
            </w:pPr>
            <w:r>
              <w:rPr>
                <w:sz w:val="21"/>
                <w:szCs w:val="21"/>
              </w:rPr>
              <w:t xml:space="preserve">Details of a disclosure are NOT recorded here. They go, separately and in the learner’s own words, to the person you refer to.</w:t>
            </w:r>
          </w:p>
          <w:p>
            <w:pPr>
              <w:spacing w:after="0" w:before="0" w:line="300"/>
            </w:pPr>
            <w:r>
              <w:rPr>
                <w:sz w:val="21"/>
                <w:szCs w:val="21"/>
              </w:rPr>
              <w:t xml:space="preserve">One page, one learner. Keep it where another learner cannot read it.</w:t>
            </w:r>
          </w:p>
        </w:tc>
      </w:tr>
    </w:tbl>
    <w:p>
      <w:pPr>
        <w:spacing w:after="140"/>
      </w:pPr>
      <w:r>
        <w:rPr>
          <w:b/>
          <w:bCs/>
          <w:color w:val="1F3A5F"/>
          <w:sz w:val="21"/>
          <w:szCs w:val="21"/>
        </w:rPr>
        <w:t xml:space="preserve">Learner  </w:t>
      </w:r>
      <w:r>
        <w:rPr>
          <w:color w:val="B9B3A6"/>
          <w:sz w:val="21"/>
          <w:szCs w:val="21"/>
        </w:rPr>
        <w:t xml:space="preserve">____________________________</w:t>
      </w:r>
    </w:p>
    <w:p>
      <w:pPr>
        <w:spacing w:after="140"/>
      </w:pPr>
      <w:r>
        <w:rPr>
          <w:b/>
          <w:bCs/>
          <w:color w:val="1F3A5F"/>
          <w:sz w:val="21"/>
          <w:szCs w:val="21"/>
        </w:rPr>
        <w:t xml:space="preserve">Language we talk in  </w:t>
      </w:r>
      <w:r>
        <w:rPr>
          <w:color w:val="B9B3A6"/>
          <w:sz w:val="21"/>
          <w:szCs w:val="21"/>
        </w:rPr>
        <w:t xml:space="preserve">____________________________</w:t>
      </w:r>
    </w:p>
    <w:p>
      <w:pPr>
        <w:spacing w:after="140"/>
      </w:pPr>
      <w:r>
        <w:rPr>
          <w:b/>
          <w:bCs/>
          <w:color w:val="1F3A5F"/>
          <w:sz w:val="21"/>
          <w:szCs w:val="21"/>
        </w:rPr>
        <w:t xml:space="preserve">Their other facilitators  </w:t>
      </w:r>
      <w:r>
        <w:rPr>
          <w:color w:val="B9B3A6"/>
          <w:sz w:val="21"/>
          <w:szCs w:val="21"/>
        </w:rPr>
        <w:t xml:space="preserve">____________________________</w:t>
      </w:r>
    </w:p>
    <w:p>
      <w:pPr>
        <w:spacing w:after="140"/>
      </w:pPr>
      <w:r>
        <w:rPr>
          <w:b/>
          <w:bCs/>
          <w:color w:val="1F3A5F"/>
          <w:sz w:val="21"/>
          <w:szCs w:val="21"/>
        </w:rPr>
        <w:t xml:space="preserve">Their learning goal (update it when it changes)  </w:t>
      </w:r>
      <w:r>
        <w:rPr>
          <w:color w:val="B9B3A6"/>
          <w:sz w:val="21"/>
          <w:szCs w:val="21"/>
        </w:rPr>
        <w:t xml:space="preserve">____________________________</w:t>
      </w:r>
    </w:p>
    <w:p>
      <w:pPr>
        <w:spacing w:after="120" w:before="0" w:line="300"/>
      </w:pPr>
      <w:r>
        <w:rPr>
          <w:color w:val="5A6473"/>
          <w:sz w:val="19"/>
          <w:szCs w:val="19"/>
        </w:rPr>
        <w:t xml:space="preserve">Flag key:   ! = watch this   → = referred (write the date)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400"/>
        <w:gridCol w:w="2100"/>
        <w:gridCol w:w="800"/>
      </w:tblGrid>
      <w:tr>
        <w:trPr>
          <w:tblHeader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Week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Step we agreed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What I noticed (facts, not diagnosis)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Last step happened?</w:t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F3A5F"/>
                <w:sz w:val="17"/>
                <w:szCs w:val="17"/>
              </w:rPr>
              <w:t xml:space="preserve">Flag</w:t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7A3B69"/>
                <w:sz w:val="19"/>
                <w:szCs w:val="19"/>
              </w:rPr>
              <w:t xml:space="preserve">12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160" w:line="300"/>
      </w:pPr>
      <w:r>
        <w:rPr>
          <w:b/>
          <w:bCs/>
          <w:color w:val="6E7A2E"/>
          <w:sz w:val="20"/>
          <w:szCs w:val="20"/>
        </w:rPr>
        <w:t xml:space="preserve">Read the WHOLE page every few weeks, not just the last row. The pattern is the point, and it is invisible one row at a time.</w:t>
      </w:r>
    </w:p>
    <w:p>
      <w:pPr>
        <w:spacing w:after="140" w:before="60" w:line="300"/>
      </w:pPr>
      <w:r>
        <w:rPr>
          <w:b/>
          <w:bCs/>
          <w:color w:val="5A6473"/>
          <w:sz w:val="20"/>
          <w:szCs w:val="20"/>
        </w:rPr>
        <w:t xml:space="preserve">Bring this to the Week-6 and Week-12 judgements. What you saw and heard in mentoring is legitimate evidence — for a learner who cannot yet write, it may be your strongest.</w:t>
      </w:r>
    </w:p>
    <w:sectPr>
      <w:footerReference w:type="default" r:id="rId7"/>
      <w:pgSz w:w="11906" w:h="16838" w:orient="portrait"/>
      <w:pgMar w:top="1134" w:right="1418" w:bottom="1021" w:left="1418" w:header="62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B3A6" w:sz="4"/>
      </w:pBdr>
      <w:tabs>
        <w:tab w:val="right" w:pos="9070"/>
      </w:tabs>
      <w:spacing w:before="60"/>
    </w:pPr>
    <w:r>
      <w:rPr>
        <w:color w:val="5A6473"/>
        <w:sz w:val="15"/>
        <w:szCs w:val="15"/>
      </w:rPr>
      <w:t xml:space="preserve">Learning Bridge+ (Cox's Bazar) · Mentoring and Wellbeing · Amala Education with NRC</w:t>
    </w:r>
    <w:r>
      <w:t xml:space="preserve">	</w:t>
    </w:r>
    <w:r>
      <w:rPr>
        <w:color w:val="5A6473"/>
        <w:sz w:val="15"/>
        <w:szCs w:val="15"/>
      </w:rPr>
      <w:t xml:space="preserve">page </w:t>
    </w:r>
    <w:r>
      <w:rPr>
        <w:b/>
        <w:bCs/>
        <w:color w:val="5A647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2026-08-25T04:40:39.131Z</dcterms:created>
  <dcterms:modified xsi:type="dcterms:W3CDTF">2026-08-25T04:40:39.131Z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